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C3A5A" w14:textId="7B26C8DC" w:rsidR="009D6AAC" w:rsidRDefault="00AD0063" w:rsidP="009A649F">
      <w:pPr>
        <w:pStyle w:val="Tittel"/>
        <w:rPr>
          <w:lang w:eastAsia="nb-NO"/>
        </w:rPr>
      </w:pPr>
      <w:r>
        <w:rPr>
          <w:lang w:eastAsia="nb-NO"/>
        </w:rPr>
        <w:t>Justering</w:t>
      </w:r>
      <w:r w:rsidR="009D6AAC">
        <w:rPr>
          <w:lang w:eastAsia="nb-NO"/>
        </w:rPr>
        <w:t xml:space="preserve"> av satser i gebyrregulativ</w:t>
      </w:r>
      <w:r w:rsidR="007A3F2E">
        <w:rPr>
          <w:lang w:eastAsia="nb-NO"/>
        </w:rPr>
        <w:t>et</w:t>
      </w:r>
      <w:r w:rsidR="009D6AAC">
        <w:rPr>
          <w:lang w:eastAsia="nb-NO"/>
        </w:rPr>
        <w:t xml:space="preserve"> for arbeid etter matrikkelloven</w:t>
      </w:r>
    </w:p>
    <w:p w14:paraId="69DA6E62" w14:textId="2A3B67B2" w:rsidR="007F3633" w:rsidRDefault="007F3633" w:rsidP="00482B1C">
      <w:pPr>
        <w:pStyle w:val="Overskrift1"/>
        <w:rPr>
          <w:b/>
          <w:bCs/>
          <w:color w:val="0070C0"/>
          <w:lang w:eastAsia="nb-NO"/>
        </w:rPr>
      </w:pPr>
      <w:r>
        <w:rPr>
          <w:b/>
          <w:bCs/>
          <w:color w:val="0070C0"/>
          <w:lang w:eastAsia="nb-NO"/>
        </w:rPr>
        <w:t>Sammendrag</w:t>
      </w:r>
    </w:p>
    <w:p w14:paraId="2E8E0765" w14:textId="77777777" w:rsidR="007F3633" w:rsidRDefault="007F3633" w:rsidP="007F3633">
      <w:pPr>
        <w:rPr>
          <w:lang w:eastAsia="nb-NO"/>
        </w:rPr>
      </w:pPr>
    </w:p>
    <w:p w14:paraId="3DC119D0" w14:textId="766FB7C2" w:rsidR="007F3633" w:rsidRPr="007F3633" w:rsidRDefault="00A31662" w:rsidP="007F3633">
      <w:pPr>
        <w:rPr>
          <w:lang w:eastAsia="nb-NO"/>
        </w:rPr>
      </w:pPr>
      <w:r w:rsidRPr="00A31662">
        <w:rPr>
          <w:lang w:eastAsia="nb-NO"/>
        </w:rPr>
        <w:t>Gebyrsatsene for arbeid etter matrikkelloven justeres med 15</w:t>
      </w:r>
      <w:r w:rsidR="00162E0C">
        <w:rPr>
          <w:lang w:eastAsia="nb-NO"/>
        </w:rPr>
        <w:t xml:space="preserve"> prosent</w:t>
      </w:r>
      <w:r w:rsidRPr="00A31662">
        <w:rPr>
          <w:lang w:eastAsia="nb-NO"/>
        </w:rPr>
        <w:t xml:space="preserve"> med virkning fra 1.</w:t>
      </w:r>
      <w:r w:rsidR="00162E0C">
        <w:rPr>
          <w:lang w:eastAsia="nb-NO"/>
        </w:rPr>
        <w:t xml:space="preserve"> juni </w:t>
      </w:r>
      <w:r w:rsidRPr="00A31662">
        <w:rPr>
          <w:lang w:eastAsia="nb-NO"/>
        </w:rPr>
        <w:t>2020. Dette gjøres for at gebyrsatsene og inntekt for arbeid etter matrikkelloven skal harmonere med driftsutgiftene innen området. Med henvisning til nye regler i forskrift for selvkost gjeldende fra 1.</w:t>
      </w:r>
      <w:r w:rsidR="00162E0C">
        <w:rPr>
          <w:lang w:eastAsia="nb-NO"/>
        </w:rPr>
        <w:t xml:space="preserve"> januar </w:t>
      </w:r>
      <w:r w:rsidRPr="00A31662">
        <w:rPr>
          <w:lang w:eastAsia="nb-NO"/>
        </w:rPr>
        <w:t>2020, vil underskudd innen selvkost ansvar 4150 tjeneste 3000 ikke kunne fremføres og må dekkes inn av bykassen. Estimert beløpet som må dekkes inn, vil kunne beregnes mer eksakt og fremlegges for kommunestyret høsten 2020.</w:t>
      </w:r>
    </w:p>
    <w:p w14:paraId="0FD1BB59" w14:textId="0DBC24F2" w:rsidR="009A649F" w:rsidRPr="003C228D" w:rsidRDefault="009A649F" w:rsidP="00482B1C">
      <w:pPr>
        <w:pStyle w:val="Overskrift1"/>
        <w:rPr>
          <w:b/>
          <w:bCs/>
          <w:color w:val="0070C0"/>
          <w:lang w:eastAsia="nb-NO"/>
        </w:rPr>
      </w:pPr>
      <w:r w:rsidRPr="003C228D">
        <w:rPr>
          <w:b/>
          <w:bCs/>
          <w:color w:val="0070C0"/>
          <w:lang w:eastAsia="nb-NO"/>
        </w:rPr>
        <w:t>Innledning</w:t>
      </w:r>
    </w:p>
    <w:p w14:paraId="37848F68" w14:textId="77777777" w:rsidR="00993A68" w:rsidRDefault="00993A68" w:rsidP="009A649F">
      <w:pPr>
        <w:rPr>
          <w:lang w:eastAsia="nb-NO"/>
        </w:rPr>
      </w:pPr>
    </w:p>
    <w:p w14:paraId="1C1EA76E" w14:textId="041BB20D" w:rsidR="009A649F" w:rsidRDefault="00CA0C8B" w:rsidP="009A649F">
      <w:pPr>
        <w:rPr>
          <w:lang w:eastAsia="nb-NO"/>
        </w:rPr>
      </w:pPr>
      <w:r>
        <w:rPr>
          <w:lang w:eastAsia="nb-NO"/>
        </w:rPr>
        <w:t>Geodata</w:t>
      </w:r>
      <w:r w:rsidR="00AA3698">
        <w:rPr>
          <w:lang w:eastAsia="nb-NO"/>
        </w:rPr>
        <w:t xml:space="preserve"> </w:t>
      </w:r>
      <w:r w:rsidR="008879A0">
        <w:rPr>
          <w:lang w:eastAsia="nb-NO"/>
        </w:rPr>
        <w:t xml:space="preserve">utøver myndighet, forvalter og drifter </w:t>
      </w:r>
      <w:r w:rsidR="009D76BE">
        <w:rPr>
          <w:lang w:eastAsia="nb-NO"/>
        </w:rPr>
        <w:t>oppgaver og tjenester etter matrikkelloven.</w:t>
      </w:r>
      <w:r w:rsidR="00005869">
        <w:rPr>
          <w:lang w:eastAsia="nb-NO"/>
        </w:rPr>
        <w:t xml:space="preserve"> </w:t>
      </w:r>
      <w:r w:rsidR="005E5496">
        <w:rPr>
          <w:lang w:eastAsia="nb-NO"/>
        </w:rPr>
        <w:t>De oppgavene og tjenestene</w:t>
      </w:r>
      <w:r w:rsidR="00A0289B">
        <w:rPr>
          <w:lang w:eastAsia="nb-NO"/>
        </w:rPr>
        <w:t xml:space="preserve"> som </w:t>
      </w:r>
      <w:r w:rsidR="00560060">
        <w:rPr>
          <w:lang w:eastAsia="nb-NO"/>
        </w:rPr>
        <w:t xml:space="preserve">det </w:t>
      </w:r>
      <w:r w:rsidR="00A0289B">
        <w:rPr>
          <w:lang w:eastAsia="nb-NO"/>
        </w:rPr>
        <w:t>etter</w:t>
      </w:r>
      <w:r w:rsidR="00E15E9C">
        <w:rPr>
          <w:lang w:eastAsia="nb-NO"/>
        </w:rPr>
        <w:t xml:space="preserve"> </w:t>
      </w:r>
      <w:r w:rsidR="008B2FD0">
        <w:rPr>
          <w:lang w:eastAsia="nb-NO"/>
        </w:rPr>
        <w:t>reglene</w:t>
      </w:r>
      <w:r w:rsidR="005E5496">
        <w:rPr>
          <w:lang w:eastAsia="nb-NO"/>
        </w:rPr>
        <w:t xml:space="preserve"> </w:t>
      </w:r>
      <w:r w:rsidR="00560060">
        <w:rPr>
          <w:lang w:eastAsia="nb-NO"/>
        </w:rPr>
        <w:t>kan tas gebyr for</w:t>
      </w:r>
      <w:r w:rsidR="00DF5747">
        <w:rPr>
          <w:lang w:eastAsia="nb-NO"/>
        </w:rPr>
        <w:t xml:space="preserve">, </w:t>
      </w:r>
      <w:r w:rsidR="00506005">
        <w:rPr>
          <w:lang w:eastAsia="nb-NO"/>
        </w:rPr>
        <w:t>skal</w:t>
      </w:r>
      <w:r w:rsidR="004C3B1F">
        <w:rPr>
          <w:lang w:eastAsia="nb-NO"/>
        </w:rPr>
        <w:t xml:space="preserve"> følge prinsippene </w:t>
      </w:r>
      <w:r w:rsidR="00245050">
        <w:rPr>
          <w:lang w:eastAsia="nb-NO"/>
        </w:rPr>
        <w:t>for selvkost</w:t>
      </w:r>
      <w:r w:rsidR="00865B1B">
        <w:rPr>
          <w:lang w:eastAsia="nb-NO"/>
        </w:rPr>
        <w:t xml:space="preserve">. Av </w:t>
      </w:r>
      <w:r w:rsidR="00577899">
        <w:rPr>
          <w:lang w:eastAsia="nb-NO"/>
        </w:rPr>
        <w:t>6,8 årsverk</w:t>
      </w:r>
      <w:r w:rsidR="001F1B0B">
        <w:rPr>
          <w:lang w:eastAsia="nb-NO"/>
        </w:rPr>
        <w:t xml:space="preserve"> som jobber med saker etter</w:t>
      </w:r>
      <w:r w:rsidR="00503F05">
        <w:rPr>
          <w:lang w:eastAsia="nb-NO"/>
        </w:rPr>
        <w:t xml:space="preserve"> denne loven, er det </w:t>
      </w:r>
      <w:r w:rsidR="00E82B89">
        <w:rPr>
          <w:lang w:eastAsia="nb-NO"/>
        </w:rPr>
        <w:t>5,6 årsverk som faller inn under selvkostdefinisjonen</w:t>
      </w:r>
      <w:r w:rsidR="00993A68">
        <w:rPr>
          <w:lang w:eastAsia="nb-NO"/>
        </w:rPr>
        <w:t>.</w:t>
      </w:r>
    </w:p>
    <w:p w14:paraId="358A42F0" w14:textId="5FDE6185" w:rsidR="00CE3A4B" w:rsidRDefault="00CD4F2E" w:rsidP="009A649F">
      <w:pPr>
        <w:rPr>
          <w:lang w:eastAsia="nb-NO"/>
        </w:rPr>
      </w:pPr>
      <w:r>
        <w:rPr>
          <w:lang w:eastAsia="nb-NO"/>
        </w:rPr>
        <w:t>De</w:t>
      </w:r>
      <w:r w:rsidR="00CC362B">
        <w:rPr>
          <w:lang w:eastAsia="nb-NO"/>
        </w:rPr>
        <w:t xml:space="preserve"> </w:t>
      </w:r>
      <w:r>
        <w:rPr>
          <w:lang w:eastAsia="nb-NO"/>
        </w:rPr>
        <w:t>siste 3 årene har det vært en markert nedgang i sakstilgangen</w:t>
      </w:r>
      <w:r w:rsidR="00CC362B">
        <w:rPr>
          <w:lang w:eastAsia="nb-NO"/>
        </w:rPr>
        <w:t xml:space="preserve"> (se figur 1)</w:t>
      </w:r>
      <w:r w:rsidR="00B67532">
        <w:rPr>
          <w:lang w:eastAsia="nb-NO"/>
        </w:rPr>
        <w:t xml:space="preserve"> sammenlignet med tidligere år</w:t>
      </w:r>
      <w:r w:rsidR="005204AF">
        <w:rPr>
          <w:lang w:eastAsia="nb-NO"/>
        </w:rPr>
        <w:t xml:space="preserve">. </w:t>
      </w:r>
      <w:r w:rsidR="00CC362B">
        <w:rPr>
          <w:lang w:eastAsia="nb-NO"/>
        </w:rPr>
        <w:t>Sakstilgan</w:t>
      </w:r>
      <w:r w:rsidR="001611F8">
        <w:rPr>
          <w:lang w:eastAsia="nb-NO"/>
        </w:rPr>
        <w:t>gen er markedsstyrt</w:t>
      </w:r>
      <w:r w:rsidR="002B6439">
        <w:rPr>
          <w:lang w:eastAsia="nb-NO"/>
        </w:rPr>
        <w:t>.</w:t>
      </w:r>
    </w:p>
    <w:p w14:paraId="5824A6B1" w14:textId="77777777" w:rsidR="001F3F27" w:rsidRDefault="001F3F27" w:rsidP="001F3F27">
      <w:pPr>
        <w:keepNext/>
      </w:pPr>
      <w:r w:rsidRPr="00BC434A">
        <w:rPr>
          <w:noProof/>
        </w:rPr>
        <w:drawing>
          <wp:inline distT="0" distB="0" distL="0" distR="0" wp14:anchorId="1C677407" wp14:editId="71D2B11D">
            <wp:extent cx="4362450" cy="1619250"/>
            <wp:effectExtent l="0" t="0" r="0" b="0"/>
            <wp:docPr id="1" name="Diagram 1">
              <a:extLst xmlns:a="http://schemas.openxmlformats.org/drawingml/2006/main">
                <a:ext uri="{FF2B5EF4-FFF2-40B4-BE49-F238E27FC236}">
                  <a16:creationId xmlns:a16="http://schemas.microsoft.com/office/drawing/2014/main" id="{B6B013C4-C4E8-4B99-AB91-863793A366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4C7ADF" w14:textId="06CEB7CA" w:rsidR="001F3F27" w:rsidRDefault="001F3F27" w:rsidP="001F3F27">
      <w:pPr>
        <w:pStyle w:val="Bildetekst"/>
      </w:pPr>
      <w:r>
        <w:t xml:space="preserve">Figur </w:t>
      </w:r>
      <w:r>
        <w:fldChar w:fldCharType="begin"/>
      </w:r>
      <w:r>
        <w:instrText>SEQ Figur \* ARABIC</w:instrText>
      </w:r>
      <w:r>
        <w:fldChar w:fldCharType="separate"/>
      </w:r>
      <w:r w:rsidR="00FD614C">
        <w:rPr>
          <w:noProof/>
        </w:rPr>
        <w:t>1</w:t>
      </w:r>
      <w:r>
        <w:fldChar w:fldCharType="end"/>
      </w:r>
    </w:p>
    <w:p w14:paraId="6F05221C" w14:textId="2E1BBACD" w:rsidR="00730C3D" w:rsidRDefault="00083EC3" w:rsidP="00730C3D">
      <w:pPr>
        <w:rPr>
          <w:lang w:eastAsia="nb-NO"/>
        </w:rPr>
      </w:pPr>
      <w:r>
        <w:rPr>
          <w:lang w:eastAsia="nb-NO"/>
        </w:rPr>
        <w:t>I årene</w:t>
      </w:r>
      <w:r w:rsidR="00B01348">
        <w:rPr>
          <w:lang w:eastAsia="nb-NO"/>
        </w:rPr>
        <w:t xml:space="preserve"> 2017-2019 har det vært en stabil saksmengde</w:t>
      </w:r>
      <w:r w:rsidR="008344E1">
        <w:rPr>
          <w:lang w:eastAsia="nb-NO"/>
        </w:rPr>
        <w:t>, og vi anta</w:t>
      </w:r>
      <w:r w:rsidR="007A3F2E">
        <w:rPr>
          <w:lang w:eastAsia="nb-NO"/>
        </w:rPr>
        <w:t>r</w:t>
      </w:r>
      <w:r w:rsidR="008344E1">
        <w:rPr>
          <w:lang w:eastAsia="nb-NO"/>
        </w:rPr>
        <w:t xml:space="preserve"> at denne trenden fortsetter</w:t>
      </w:r>
      <w:r w:rsidR="008A7772">
        <w:rPr>
          <w:lang w:eastAsia="nb-NO"/>
        </w:rPr>
        <w:t xml:space="preserve"> i årene som kommer</w:t>
      </w:r>
      <w:r w:rsidR="00FB0229">
        <w:rPr>
          <w:lang w:eastAsia="nb-NO"/>
        </w:rPr>
        <w:t>.</w:t>
      </w:r>
    </w:p>
    <w:p w14:paraId="08B84931" w14:textId="1A57874E" w:rsidR="00FB0229" w:rsidRDefault="00FB0229" w:rsidP="00730C3D">
      <w:pPr>
        <w:rPr>
          <w:lang w:eastAsia="nb-NO"/>
        </w:rPr>
      </w:pPr>
    </w:p>
    <w:p w14:paraId="2C703CDC" w14:textId="310E50E6" w:rsidR="00F50767" w:rsidRDefault="00DF627F" w:rsidP="00B82F88">
      <w:r>
        <w:rPr>
          <w:lang w:eastAsia="nb-NO"/>
        </w:rPr>
        <w:t>Med</w:t>
      </w:r>
      <w:r w:rsidR="00C76E63">
        <w:rPr>
          <w:lang w:eastAsia="nb-NO"/>
        </w:rPr>
        <w:t xml:space="preserve"> utgangspunkt</w:t>
      </w:r>
      <w:r w:rsidR="008F6551">
        <w:rPr>
          <w:lang w:eastAsia="nb-NO"/>
        </w:rPr>
        <w:t xml:space="preserve"> i årene 2017-2019</w:t>
      </w:r>
      <w:r w:rsidR="003900FF">
        <w:rPr>
          <w:lang w:eastAsia="nb-NO"/>
        </w:rPr>
        <w:t xml:space="preserve">, </w:t>
      </w:r>
      <w:r w:rsidR="00BF749D">
        <w:rPr>
          <w:lang w:eastAsia="nb-NO"/>
        </w:rPr>
        <w:t xml:space="preserve">har </w:t>
      </w:r>
      <w:r w:rsidR="00464F74">
        <w:rPr>
          <w:lang w:eastAsia="nb-NO"/>
        </w:rPr>
        <w:t>det økonomiske resultat</w:t>
      </w:r>
      <w:r w:rsidR="005426AA">
        <w:rPr>
          <w:lang w:eastAsia="nb-NO"/>
        </w:rPr>
        <w:t>et</w:t>
      </w:r>
      <w:r w:rsidR="00977391">
        <w:rPr>
          <w:lang w:eastAsia="nb-NO"/>
        </w:rPr>
        <w:t xml:space="preserve"> innen dette selvkostområdet </w:t>
      </w:r>
      <w:r w:rsidR="003C2748">
        <w:rPr>
          <w:lang w:eastAsia="nb-NO"/>
        </w:rPr>
        <w:t xml:space="preserve">(tjeneste 3000) </w:t>
      </w:r>
      <w:r w:rsidR="00977391">
        <w:rPr>
          <w:lang w:eastAsia="nb-NO"/>
        </w:rPr>
        <w:t xml:space="preserve">vært som </w:t>
      </w:r>
      <w:r w:rsidR="002D57B6">
        <w:rPr>
          <w:lang w:eastAsia="nb-NO"/>
        </w:rPr>
        <w:t>vist i figur</w:t>
      </w:r>
      <w:r w:rsidR="00137BED">
        <w:rPr>
          <w:lang w:eastAsia="nb-NO"/>
        </w:rPr>
        <w:t xml:space="preserve"> 2</w:t>
      </w:r>
      <w:r w:rsidR="00771B8A">
        <w:rPr>
          <w:lang w:eastAsia="nb-NO"/>
        </w:rPr>
        <w:t xml:space="preserve">. </w:t>
      </w:r>
      <w:r w:rsidR="0031296A">
        <w:rPr>
          <w:lang w:eastAsia="nb-NO"/>
        </w:rPr>
        <w:t>Verdier</w:t>
      </w:r>
      <w:r w:rsidR="00765BA7">
        <w:rPr>
          <w:lang w:eastAsia="nb-NO"/>
        </w:rPr>
        <w:t xml:space="preserve"> er </w:t>
      </w:r>
      <w:r w:rsidR="00055F98">
        <w:rPr>
          <w:lang w:eastAsia="nb-NO"/>
        </w:rPr>
        <w:t xml:space="preserve">hentet fra </w:t>
      </w:r>
      <w:r w:rsidR="00B458C2">
        <w:rPr>
          <w:lang w:eastAsia="nb-NO"/>
        </w:rPr>
        <w:t xml:space="preserve">beregninger i </w:t>
      </w:r>
      <w:proofErr w:type="spellStart"/>
      <w:r w:rsidR="00B458C2">
        <w:rPr>
          <w:lang w:eastAsia="nb-NO"/>
        </w:rPr>
        <w:t>etterkalkyle</w:t>
      </w:r>
      <w:r w:rsidR="005E3F7D">
        <w:rPr>
          <w:lang w:eastAsia="nb-NO"/>
        </w:rPr>
        <w:t>n</w:t>
      </w:r>
      <w:proofErr w:type="spellEnd"/>
      <w:r w:rsidR="005E3F7D">
        <w:rPr>
          <w:lang w:eastAsia="nb-NO"/>
        </w:rPr>
        <w:t xml:space="preserve"> for selvkostområdene</w:t>
      </w:r>
      <w:r w:rsidR="00123220">
        <w:rPr>
          <w:lang w:eastAsia="nb-NO"/>
        </w:rPr>
        <w:t>:</w:t>
      </w:r>
      <w:r w:rsidR="00EB6E62" w:rsidRPr="00BC434A">
        <w:rPr>
          <w:noProof/>
          <w:u w:val="single"/>
        </w:rPr>
        <w:drawing>
          <wp:inline distT="0" distB="0" distL="0" distR="0" wp14:anchorId="73F44BE5" wp14:editId="59A71829">
            <wp:extent cx="4686300" cy="2047875"/>
            <wp:effectExtent l="0" t="0" r="0" b="0"/>
            <wp:docPr id="2" name="Diagram 2">
              <a:extLst xmlns:a="http://schemas.openxmlformats.org/drawingml/2006/main">
                <a:ext uri="{FF2B5EF4-FFF2-40B4-BE49-F238E27FC236}">
                  <a16:creationId xmlns:a16="http://schemas.microsoft.com/office/drawing/2014/main" id="{9C68E707-3E12-4361-8511-842FA1888D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F32156" w14:textId="251451EC" w:rsidR="00D11F87" w:rsidRDefault="00F50767" w:rsidP="00F50767">
      <w:pPr>
        <w:pStyle w:val="Bildetekst"/>
      </w:pPr>
      <w:r>
        <w:t xml:space="preserve">Figur </w:t>
      </w:r>
      <w:r>
        <w:fldChar w:fldCharType="begin"/>
      </w:r>
      <w:r>
        <w:instrText>SEQ Figur \* ARABIC</w:instrText>
      </w:r>
      <w:r>
        <w:fldChar w:fldCharType="separate"/>
      </w:r>
      <w:r w:rsidR="00FD614C">
        <w:rPr>
          <w:noProof/>
        </w:rPr>
        <w:t>2</w:t>
      </w:r>
      <w:r>
        <w:fldChar w:fldCharType="end"/>
      </w:r>
    </w:p>
    <w:p w14:paraId="4CD1FE38" w14:textId="4FB66067" w:rsidR="00873027" w:rsidRDefault="00FC362D" w:rsidP="00873027">
      <w:r>
        <w:t>Det har vært sp</w:t>
      </w:r>
      <w:r w:rsidR="00A45DDC">
        <w:t>esielt stor svikt i sakstypen fradeling av grunneiendom</w:t>
      </w:r>
      <w:r w:rsidR="003E6A9A">
        <w:t xml:space="preserve">. </w:t>
      </w:r>
      <w:r w:rsidR="00C40465">
        <w:t xml:space="preserve">I 2017-2018 </w:t>
      </w:r>
      <w:r w:rsidR="006E4D34">
        <w:t>var andelen av denne sa</w:t>
      </w:r>
      <w:r w:rsidR="006B42D5">
        <w:t>ks</w:t>
      </w:r>
      <w:r w:rsidR="006E4D34">
        <w:t xml:space="preserve">typen </w:t>
      </w:r>
      <w:r w:rsidR="0053460E">
        <w:t>om lag</w:t>
      </w:r>
      <w:r w:rsidR="006E4D34">
        <w:t xml:space="preserve"> 40</w:t>
      </w:r>
      <w:r w:rsidR="001608FF">
        <w:t xml:space="preserve"> </w:t>
      </w:r>
      <w:r w:rsidR="0053460E">
        <w:t>prosent</w:t>
      </w:r>
      <w:r w:rsidR="00A44E0A">
        <w:t>, og sak</w:t>
      </w:r>
      <w:r w:rsidR="009F6D9C">
        <w:t xml:space="preserve">stypen stod for </w:t>
      </w:r>
      <w:r w:rsidR="0053460E">
        <w:t xml:space="preserve">rundt </w:t>
      </w:r>
      <w:r w:rsidR="00050474">
        <w:t>80</w:t>
      </w:r>
      <w:r w:rsidR="001608FF">
        <w:t xml:space="preserve"> </w:t>
      </w:r>
      <w:r w:rsidR="0053460E">
        <w:t>prosent</w:t>
      </w:r>
      <w:r w:rsidR="00DC1783">
        <w:t xml:space="preserve"> av inntektene</w:t>
      </w:r>
      <w:r w:rsidR="00493DBB">
        <w:t xml:space="preserve">. I 2019 var disse andelene henholdsvis </w:t>
      </w:r>
      <w:r w:rsidR="00223509">
        <w:t>33</w:t>
      </w:r>
      <w:r w:rsidR="001608FF">
        <w:t xml:space="preserve"> prosent</w:t>
      </w:r>
      <w:r w:rsidR="00223509">
        <w:t xml:space="preserve"> og </w:t>
      </w:r>
      <w:r w:rsidR="00DA0C66">
        <w:t>60</w:t>
      </w:r>
      <w:r w:rsidR="001608FF">
        <w:t xml:space="preserve"> prosent</w:t>
      </w:r>
      <w:r w:rsidR="008D1803">
        <w:t xml:space="preserve">. </w:t>
      </w:r>
      <w:r w:rsidR="001B6F25">
        <w:t>Nedgangen i antall etablerte boligeiendommer</w:t>
      </w:r>
      <w:r w:rsidR="007D4188">
        <w:t xml:space="preserve"> disse </w:t>
      </w:r>
      <w:r w:rsidR="00B90486">
        <w:t xml:space="preserve">3 </w:t>
      </w:r>
      <w:r w:rsidR="007D4188">
        <w:t>årene</w:t>
      </w:r>
      <w:r w:rsidR="00517151">
        <w:t>,</w:t>
      </w:r>
      <w:r w:rsidR="001B6F25">
        <w:t xml:space="preserve"> er </w:t>
      </w:r>
      <w:r w:rsidR="00517151">
        <w:t xml:space="preserve">på </w:t>
      </w:r>
      <w:r w:rsidR="001608FF">
        <w:t xml:space="preserve">om lag </w:t>
      </w:r>
      <w:r w:rsidR="009B0E2E">
        <w:t>26</w:t>
      </w:r>
      <w:r w:rsidR="001608FF">
        <w:t xml:space="preserve"> prosent</w:t>
      </w:r>
      <w:r w:rsidR="00B90486">
        <w:t>.</w:t>
      </w:r>
      <w:r w:rsidR="00B72BFE">
        <w:t xml:space="preserve"> </w:t>
      </w:r>
    </w:p>
    <w:p w14:paraId="31B584F1" w14:textId="353002F8" w:rsidR="006E2B53" w:rsidRDefault="009F0FEC" w:rsidP="00646066">
      <w:pPr>
        <w:keepNext/>
      </w:pPr>
      <w:r>
        <w:lastRenderedPageBreak/>
        <w:t>Figur 3 nedenfor viser at vi driver effektivt i Sandnes</w:t>
      </w:r>
      <w:r w:rsidR="00F1555A">
        <w:t>.</w:t>
      </w:r>
    </w:p>
    <w:p w14:paraId="5235CEE5" w14:textId="77777777" w:rsidR="00586541" w:rsidRDefault="00586541" w:rsidP="006E2B53">
      <w:pPr>
        <w:keepNext/>
      </w:pPr>
    </w:p>
    <w:p w14:paraId="33A562FA" w14:textId="4B12F7B4" w:rsidR="006E2B53" w:rsidRDefault="00F25EAB" w:rsidP="006E2B53">
      <w:pPr>
        <w:keepNext/>
      </w:pPr>
      <w:r>
        <w:rPr>
          <w:noProof/>
        </w:rPr>
        <mc:AlternateContent>
          <mc:Choice Requires="cx2">
            <w:drawing>
              <wp:inline distT="0" distB="0" distL="0" distR="0" wp14:anchorId="6C97A1E0" wp14:editId="538BF63D">
                <wp:extent cx="5105400" cy="2476500"/>
                <wp:effectExtent l="0" t="0" r="0" b="0"/>
                <wp:docPr id="3" name="Diagram 3">
                  <a:extLst xmlns:a="http://schemas.openxmlformats.org/drawingml/2006/main">
                    <a:ext uri="{FF2B5EF4-FFF2-40B4-BE49-F238E27FC236}">
                      <a16:creationId xmlns:a16="http://schemas.microsoft.com/office/drawing/2014/main" id="{AD837278-7A96-47C5-8D87-A7D1E812C15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xmlns:a="http://schemas.openxmlformats.org/drawingml/2006/main" xmlns:a16="http://schemas.microsoft.com/office/drawing/2014/main" xmlns:c="http://schemas.openxmlformats.org/drawingml/2006/chart" xmlns:pic="http://schemas.openxmlformats.org/drawingml/2006/picture" xmlns:arto="http://schemas.microsoft.com/office/word/2006/arto">
            <w:drawing>
              <wp:inline distT="0" distB="0" distL="0" distR="0" wp14:anchorId="6C97A1E0" wp14:editId="538BF63D">
                <wp:extent cx="5105400" cy="2476500"/>
                <wp:effectExtent l="0" t="0" r="0" b="0"/>
                <wp:docPr id="3" name="Diagram 3">
                  <a:extLst xmlns:a="http://schemas.openxmlformats.org/drawingml/2006/main">
                    <a:ext uri="{FF2B5EF4-FFF2-40B4-BE49-F238E27FC236}">
                      <a16:creationId xmlns:a16="http://schemas.microsoft.com/office/drawing/2014/main" id="{AD837278-7A96-47C5-8D87-A7D1E812C15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Diagram 3">
                          <a:extLst>
                            <a:ext uri="{FF2B5EF4-FFF2-40B4-BE49-F238E27FC236}">
                              <a16:creationId xmlns:a16="http://schemas.microsoft.com/office/drawing/2014/main" id="{AD837278-7A96-47C5-8D87-A7D1E812C159}"/>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5105400" cy="2476500"/>
                        </a:xfrm>
                        <a:prstGeom prst="rect">
                          <a:avLst/>
                        </a:prstGeom>
                      </pic:spPr>
                    </pic:pic>
                  </a:graphicData>
                </a:graphic>
              </wp:inline>
            </w:drawing>
          </mc:Fallback>
        </mc:AlternateContent>
      </w:r>
    </w:p>
    <w:p w14:paraId="79E5A63D" w14:textId="0EC05761" w:rsidR="00A710B3" w:rsidRDefault="006E2B53" w:rsidP="006E2B53">
      <w:pPr>
        <w:pStyle w:val="Bildetekst"/>
      </w:pPr>
      <w:r>
        <w:t xml:space="preserve">Figur </w:t>
      </w:r>
      <w:r>
        <w:fldChar w:fldCharType="begin"/>
      </w:r>
      <w:r>
        <w:instrText>SEQ Figur \* ARABIC</w:instrText>
      </w:r>
      <w:r>
        <w:fldChar w:fldCharType="separate"/>
      </w:r>
      <w:r w:rsidR="00FD614C">
        <w:rPr>
          <w:noProof/>
        </w:rPr>
        <w:t>3</w:t>
      </w:r>
      <w:r>
        <w:fldChar w:fldCharType="end"/>
      </w:r>
    </w:p>
    <w:p w14:paraId="085E6C21" w14:textId="7D64D47E" w:rsidR="002D2329" w:rsidRPr="003C228D" w:rsidRDefault="00D0553F" w:rsidP="00440B9C">
      <w:pPr>
        <w:pStyle w:val="Overskrift1"/>
        <w:rPr>
          <w:b/>
          <w:bCs/>
          <w:color w:val="0070C0"/>
        </w:rPr>
      </w:pPr>
      <w:r w:rsidRPr="003C228D">
        <w:rPr>
          <w:b/>
          <w:bCs/>
          <w:color w:val="0070C0"/>
        </w:rPr>
        <w:t xml:space="preserve">Regelverk </w:t>
      </w:r>
      <w:r w:rsidR="000F1ADD" w:rsidRPr="003C228D">
        <w:rPr>
          <w:b/>
          <w:bCs/>
          <w:color w:val="0070C0"/>
        </w:rPr>
        <w:t xml:space="preserve">og bestemmelser om </w:t>
      </w:r>
      <w:r w:rsidRPr="003C228D">
        <w:rPr>
          <w:b/>
          <w:bCs/>
          <w:color w:val="0070C0"/>
        </w:rPr>
        <w:t>selvkost</w:t>
      </w:r>
      <w:r w:rsidR="00F033EA" w:rsidRPr="003C228D">
        <w:rPr>
          <w:b/>
          <w:bCs/>
          <w:color w:val="0070C0"/>
        </w:rPr>
        <w:t xml:space="preserve">, og </w:t>
      </w:r>
      <w:r w:rsidR="001A7073" w:rsidRPr="003C228D">
        <w:rPr>
          <w:b/>
          <w:bCs/>
          <w:color w:val="0070C0"/>
        </w:rPr>
        <w:t>endring</w:t>
      </w:r>
      <w:r w:rsidR="00C17020" w:rsidRPr="003C228D">
        <w:rPr>
          <w:b/>
          <w:bCs/>
          <w:color w:val="0070C0"/>
        </w:rPr>
        <w:t xml:space="preserve"> gjelden</w:t>
      </w:r>
      <w:r w:rsidR="002F3E33" w:rsidRPr="003C228D">
        <w:rPr>
          <w:b/>
          <w:bCs/>
          <w:color w:val="0070C0"/>
        </w:rPr>
        <w:t>de fra 1.</w:t>
      </w:r>
      <w:r w:rsidR="00AE0D2F">
        <w:rPr>
          <w:b/>
          <w:bCs/>
          <w:color w:val="0070C0"/>
        </w:rPr>
        <w:t xml:space="preserve"> januar </w:t>
      </w:r>
      <w:r w:rsidR="002F3E33" w:rsidRPr="003C228D">
        <w:rPr>
          <w:b/>
          <w:bCs/>
          <w:color w:val="0070C0"/>
        </w:rPr>
        <w:t>2020</w:t>
      </w:r>
    </w:p>
    <w:p w14:paraId="0B3680E3" w14:textId="44FB402F" w:rsidR="00D0553F" w:rsidRDefault="00D0553F" w:rsidP="00D0553F"/>
    <w:p w14:paraId="521FC335" w14:textId="142AC302" w:rsidR="00F7537B" w:rsidRDefault="00F358FA" w:rsidP="00F7537B">
      <w:r>
        <w:t xml:space="preserve">Følgende dokumenter har regler og bestemmelser om </w:t>
      </w:r>
      <w:r w:rsidR="00F622F4">
        <w:t>selvkost:</w:t>
      </w:r>
    </w:p>
    <w:p w14:paraId="75DA1BFE" w14:textId="6A4AC977" w:rsidR="00D0553F" w:rsidRDefault="009F6033" w:rsidP="008F7E90">
      <w:pPr>
        <w:pStyle w:val="Listeavsnitt"/>
        <w:numPr>
          <w:ilvl w:val="0"/>
          <w:numId w:val="8"/>
        </w:numPr>
      </w:pPr>
      <w:r>
        <w:t>Selvkostpri</w:t>
      </w:r>
      <w:r w:rsidR="00B7399F">
        <w:t xml:space="preserve">nsippene er </w:t>
      </w:r>
      <w:r w:rsidR="00F242E8">
        <w:t xml:space="preserve">beskrevet og eksemplifisert i </w:t>
      </w:r>
      <w:r w:rsidR="00C54324" w:rsidRPr="007A3F2E">
        <w:rPr>
          <w:u w:val="single"/>
        </w:rPr>
        <w:t xml:space="preserve">«Retningslinjer for </w:t>
      </w:r>
      <w:r w:rsidR="006279B4" w:rsidRPr="007A3F2E">
        <w:rPr>
          <w:u w:val="single"/>
        </w:rPr>
        <w:t>beregning</w:t>
      </w:r>
      <w:r w:rsidR="005B00FF" w:rsidRPr="007A3F2E">
        <w:rPr>
          <w:u w:val="single"/>
        </w:rPr>
        <w:t xml:space="preserve"> av selvkost for kommunale </w:t>
      </w:r>
      <w:proofErr w:type="spellStart"/>
      <w:r w:rsidR="005B00FF" w:rsidRPr="007A3F2E">
        <w:rPr>
          <w:u w:val="single"/>
        </w:rPr>
        <w:t>tjenenster</w:t>
      </w:r>
      <w:proofErr w:type="spellEnd"/>
      <w:r w:rsidR="00A54664" w:rsidRPr="007A3F2E">
        <w:rPr>
          <w:u w:val="single"/>
        </w:rPr>
        <w:t>»</w:t>
      </w:r>
      <w:r w:rsidR="00316EF2" w:rsidRPr="007A3F2E">
        <w:rPr>
          <w:u w:val="single"/>
        </w:rPr>
        <w:t xml:space="preserve"> -</w:t>
      </w:r>
      <w:r w:rsidR="00A54664" w:rsidRPr="007A3F2E">
        <w:rPr>
          <w:u w:val="single"/>
        </w:rPr>
        <w:t xml:space="preserve"> </w:t>
      </w:r>
      <w:r w:rsidR="00D36A5F" w:rsidRPr="007A3F2E">
        <w:rPr>
          <w:u w:val="single"/>
        </w:rPr>
        <w:t xml:space="preserve">Rundskriv </w:t>
      </w:r>
      <w:r w:rsidR="00A54664" w:rsidRPr="007A3F2E">
        <w:rPr>
          <w:u w:val="single"/>
        </w:rPr>
        <w:t>H-3/14</w:t>
      </w:r>
      <w:r w:rsidR="00A54664">
        <w:t>.</w:t>
      </w:r>
    </w:p>
    <w:p w14:paraId="23D08C5D" w14:textId="2F1BFBBE" w:rsidR="000F1ADD" w:rsidRDefault="008F7E90" w:rsidP="008F7E90">
      <w:pPr>
        <w:pStyle w:val="Listeavsnitt"/>
        <w:numPr>
          <w:ilvl w:val="0"/>
          <w:numId w:val="8"/>
        </w:numPr>
      </w:pPr>
      <w:r w:rsidRPr="007A3F2E">
        <w:rPr>
          <w:u w:val="single"/>
        </w:rPr>
        <w:t>Matrikkelloven</w:t>
      </w:r>
      <w:r w:rsidR="009D3D3E" w:rsidRPr="007A3F2E">
        <w:rPr>
          <w:u w:val="single"/>
        </w:rPr>
        <w:t>s § 32</w:t>
      </w:r>
      <w:r w:rsidR="004179B6" w:rsidRPr="007A3F2E">
        <w:rPr>
          <w:u w:val="single"/>
        </w:rPr>
        <w:t xml:space="preserve"> </w:t>
      </w:r>
      <w:r w:rsidR="00F7537B" w:rsidRPr="007A3F2E">
        <w:rPr>
          <w:u w:val="single"/>
        </w:rPr>
        <w:t xml:space="preserve">og matrikkellovens </w:t>
      </w:r>
      <w:r w:rsidR="009E7F0B" w:rsidRPr="007A3F2E">
        <w:rPr>
          <w:u w:val="single"/>
        </w:rPr>
        <w:t>forskrift</w:t>
      </w:r>
      <w:r w:rsidR="00F7537B" w:rsidRPr="007A3F2E">
        <w:rPr>
          <w:u w:val="single"/>
        </w:rPr>
        <w:t xml:space="preserve"> § 16</w:t>
      </w:r>
      <w:r>
        <w:t xml:space="preserve"> har</w:t>
      </w:r>
      <w:r w:rsidR="00D4313E">
        <w:t xml:space="preserve"> bestemmelse</w:t>
      </w:r>
      <w:r w:rsidR="009E7F0B">
        <w:t>r</w:t>
      </w:r>
      <w:r w:rsidR="00D4313E">
        <w:t xml:space="preserve"> </w:t>
      </w:r>
      <w:r w:rsidR="00244DFD">
        <w:t xml:space="preserve">om gebyr </w:t>
      </w:r>
      <w:r w:rsidR="000C0D5F">
        <w:t xml:space="preserve">og </w:t>
      </w:r>
      <w:r w:rsidR="000F1ADD">
        <w:t>selvkostfond</w:t>
      </w:r>
    </w:p>
    <w:p w14:paraId="59286C5B" w14:textId="08816E30" w:rsidR="008F7E90" w:rsidRDefault="0001182C" w:rsidP="000F1ADD">
      <w:pPr>
        <w:pStyle w:val="Listeavsnitt"/>
        <w:numPr>
          <w:ilvl w:val="1"/>
          <w:numId w:val="8"/>
        </w:numPr>
      </w:pPr>
      <w:r>
        <w:t xml:space="preserve">Gebyr for arbeid etter matrikkelloven er også omtalt og presisert </w:t>
      </w:r>
      <w:r w:rsidR="00D36A5F">
        <w:t>i</w:t>
      </w:r>
      <w:r w:rsidR="008F7E90">
        <w:t xml:space="preserve"> </w:t>
      </w:r>
      <w:r w:rsidR="00316EF2">
        <w:t>«Endringer i matrikkelforskriften fra 1. januar 2016 mv» - Rundskriv H-18/15.</w:t>
      </w:r>
    </w:p>
    <w:p w14:paraId="4C43A1C9" w14:textId="788A7C4B" w:rsidR="00A207B8" w:rsidRDefault="00A207B8" w:rsidP="00A207B8">
      <w:pPr>
        <w:pStyle w:val="Listeavsnitt"/>
        <w:numPr>
          <w:ilvl w:val="0"/>
          <w:numId w:val="8"/>
        </w:numPr>
      </w:pPr>
      <w:r w:rsidRPr="007A3F2E">
        <w:rPr>
          <w:u w:val="single"/>
        </w:rPr>
        <w:t>Kommunens økonomireglement</w:t>
      </w:r>
      <w:r w:rsidR="001F5869">
        <w:t xml:space="preserve"> gjeldende fra regnskapsåret 2018</w:t>
      </w:r>
    </w:p>
    <w:p w14:paraId="73CF4FD1" w14:textId="4787F27A" w:rsidR="00014C18" w:rsidRPr="00E823D7" w:rsidRDefault="00014C18" w:rsidP="00A207B8">
      <w:pPr>
        <w:pStyle w:val="Listeavsnitt"/>
        <w:numPr>
          <w:ilvl w:val="0"/>
          <w:numId w:val="8"/>
        </w:numPr>
        <w:rPr>
          <w:u w:val="single"/>
        </w:rPr>
      </w:pPr>
      <w:r w:rsidRPr="00E823D7">
        <w:rPr>
          <w:u w:val="single"/>
        </w:rPr>
        <w:t>Forskrift for selvkost gjeldende fra 1.1.2020</w:t>
      </w:r>
    </w:p>
    <w:p w14:paraId="5670E5FE" w14:textId="0370F1D9" w:rsidR="00BA6C77" w:rsidRDefault="008F7603" w:rsidP="00F622F4">
      <w:pPr>
        <w:pStyle w:val="Listeavsnitt"/>
        <w:numPr>
          <w:ilvl w:val="1"/>
          <w:numId w:val="8"/>
        </w:numPr>
      </w:pPr>
      <w:r>
        <w:t xml:space="preserve">I § 8 </w:t>
      </w:r>
      <w:r w:rsidR="005875BA">
        <w:t xml:space="preserve">er det bestemmelser som har </w:t>
      </w:r>
      <w:r w:rsidR="00D9635F">
        <w:t xml:space="preserve">konsekvenser for hvordan man skal </w:t>
      </w:r>
      <w:r w:rsidR="00217A3F">
        <w:t>håndtere et underskudd</w:t>
      </w:r>
      <w:r w:rsidR="0014369B">
        <w:t xml:space="preserve">. </w:t>
      </w:r>
    </w:p>
    <w:p w14:paraId="70DDC350" w14:textId="77777777" w:rsidR="00EA1204" w:rsidRDefault="00C62757" w:rsidP="00C6474A">
      <w:pPr>
        <w:ind w:left="1416" w:firstLine="708"/>
      </w:pPr>
      <w:r>
        <w:t xml:space="preserve">I tredje </w:t>
      </w:r>
      <w:r w:rsidR="00A74B8A">
        <w:t>ledd</w:t>
      </w:r>
      <w:r w:rsidR="008E1575">
        <w:t xml:space="preserve"> andre til fjerde</w:t>
      </w:r>
      <w:r w:rsidR="008D72E1">
        <w:t xml:space="preserve"> punktum</w:t>
      </w:r>
      <w:r>
        <w:t xml:space="preserve"> står</w:t>
      </w:r>
      <w:r w:rsidR="00BA6C77">
        <w:t xml:space="preserve"> det: </w:t>
      </w:r>
    </w:p>
    <w:p w14:paraId="456E087D" w14:textId="5D145A6C" w:rsidR="00F622F4" w:rsidRDefault="006257FC" w:rsidP="00EA1204">
      <w:pPr>
        <w:ind w:left="1416"/>
      </w:pPr>
      <w:r w:rsidRPr="0099776A">
        <w:rPr>
          <w:i/>
          <w:iCs/>
        </w:rPr>
        <w:t>«Et underskudd som er fremført</w:t>
      </w:r>
      <w:r w:rsidR="00A51EBF" w:rsidRPr="0099776A">
        <w:rPr>
          <w:i/>
          <w:iCs/>
        </w:rPr>
        <w:t>, skal dekkes inn av et fr</w:t>
      </w:r>
      <w:r w:rsidR="00BA6C77" w:rsidRPr="0099776A">
        <w:rPr>
          <w:i/>
          <w:iCs/>
        </w:rPr>
        <w:t>e</w:t>
      </w:r>
      <w:r w:rsidR="00A51EBF" w:rsidRPr="0099776A">
        <w:rPr>
          <w:i/>
          <w:iCs/>
        </w:rPr>
        <w:t>mtidig overskudd senest i det femte året etter at under</w:t>
      </w:r>
      <w:r w:rsidR="00A45B99" w:rsidRPr="0099776A">
        <w:rPr>
          <w:i/>
          <w:iCs/>
        </w:rPr>
        <w:t>sk</w:t>
      </w:r>
      <w:r w:rsidR="00A51EBF" w:rsidRPr="0099776A">
        <w:rPr>
          <w:i/>
          <w:iCs/>
        </w:rPr>
        <w:t>uddet oppsto</w:t>
      </w:r>
      <w:r w:rsidR="00CF251F" w:rsidRPr="0099776A">
        <w:rPr>
          <w:i/>
          <w:iCs/>
        </w:rPr>
        <w:t>. Et underskudd kan likevel fremføres ut over fem år, hvis det er nødvendig for at brukerne ikke skal betale for fremtidig bruk av gjennomførte investeringer.»</w:t>
      </w:r>
    </w:p>
    <w:p w14:paraId="441C3147" w14:textId="77777777" w:rsidR="00EA1204" w:rsidRDefault="0099776A" w:rsidP="007D7864">
      <w:pPr>
        <w:ind w:left="1416" w:firstLine="708"/>
      </w:pPr>
      <w:r>
        <w:t>Dette har vært vanlig praksis for alle selvkostområdene i mange år</w:t>
      </w:r>
      <w:r w:rsidR="0082556C">
        <w:t xml:space="preserve">, men nå er det </w:t>
      </w:r>
      <w:r w:rsidR="00A76D86">
        <w:t xml:space="preserve">kommet en </w:t>
      </w:r>
      <w:r w:rsidR="00566288">
        <w:t xml:space="preserve">endring som </w:t>
      </w:r>
      <w:r w:rsidR="00A76D86">
        <w:t>beskrevet i</w:t>
      </w:r>
      <w:r w:rsidR="00A9717F">
        <w:t xml:space="preserve"> </w:t>
      </w:r>
      <w:r w:rsidR="0084622F">
        <w:t xml:space="preserve">fjerde </w:t>
      </w:r>
      <w:r w:rsidR="008D72E1">
        <w:t>ledd</w:t>
      </w:r>
      <w:r w:rsidR="00B36185">
        <w:t>:</w:t>
      </w:r>
    </w:p>
    <w:p w14:paraId="168F63FA" w14:textId="7B77F5C3" w:rsidR="0099776A" w:rsidRDefault="00B36185" w:rsidP="00EA1204">
      <w:pPr>
        <w:ind w:left="1416"/>
        <w:rPr>
          <w:i/>
          <w:iCs/>
        </w:rPr>
      </w:pPr>
      <w:r w:rsidRPr="00EF0050">
        <w:rPr>
          <w:i/>
          <w:iCs/>
        </w:rPr>
        <w:t>«</w:t>
      </w:r>
      <w:r w:rsidR="00A74B8A" w:rsidRPr="00EF0050">
        <w:rPr>
          <w:i/>
          <w:iCs/>
        </w:rPr>
        <w:t>Tredje</w:t>
      </w:r>
      <w:r w:rsidR="00E372E8" w:rsidRPr="00EF0050">
        <w:rPr>
          <w:i/>
          <w:iCs/>
        </w:rPr>
        <w:t xml:space="preserve"> ledd andre til</w:t>
      </w:r>
      <w:r w:rsidR="00EF0050" w:rsidRPr="00EF0050">
        <w:rPr>
          <w:i/>
          <w:iCs/>
        </w:rPr>
        <w:t xml:space="preserve"> fjerde </w:t>
      </w:r>
      <w:proofErr w:type="spellStart"/>
      <w:r w:rsidR="00EF0050" w:rsidRPr="00EF0050">
        <w:rPr>
          <w:i/>
          <w:iCs/>
        </w:rPr>
        <w:t>puntum</w:t>
      </w:r>
      <w:proofErr w:type="spellEnd"/>
      <w:r w:rsidR="00EF0050" w:rsidRPr="00EF0050">
        <w:rPr>
          <w:i/>
          <w:iCs/>
        </w:rPr>
        <w:t xml:space="preserve"> gjelder ikke for gebyrer etter plan- og bygningsloven, eierseksjonsloven eller matrikkellova.»</w:t>
      </w:r>
    </w:p>
    <w:p w14:paraId="6EF65EF7" w14:textId="67684373" w:rsidR="00EF0050" w:rsidRPr="00EF0050" w:rsidRDefault="00EF0050" w:rsidP="00E823D7">
      <w:pPr>
        <w:ind w:left="2124"/>
      </w:pPr>
      <w:r>
        <w:t>I praksis betyr dette at vi ikke kan fremfør</w:t>
      </w:r>
      <w:r w:rsidR="00F033EA">
        <w:t>e</w:t>
      </w:r>
      <w:r w:rsidR="00BE560C">
        <w:t xml:space="preserve"> </w:t>
      </w:r>
      <w:r w:rsidR="004A0187">
        <w:t>underskudd</w:t>
      </w:r>
      <w:r w:rsidR="00AC6520">
        <w:t xml:space="preserve"> i tjeneste 3000</w:t>
      </w:r>
      <w:r w:rsidR="005E03C0">
        <w:t xml:space="preserve"> fra 1.</w:t>
      </w:r>
      <w:r w:rsidR="005C02C8">
        <w:t xml:space="preserve"> januar </w:t>
      </w:r>
      <w:r w:rsidR="005E03C0">
        <w:t>20</w:t>
      </w:r>
      <w:r w:rsidR="00EB3E45">
        <w:t>21.</w:t>
      </w:r>
    </w:p>
    <w:p w14:paraId="69C4F0D5" w14:textId="4358113E" w:rsidR="002D2329" w:rsidRDefault="002D2329" w:rsidP="00873027"/>
    <w:p w14:paraId="08643EA6" w14:textId="77777777" w:rsidR="00B7500B" w:rsidRDefault="00B7500B" w:rsidP="009A1883">
      <w:pPr>
        <w:pStyle w:val="Overskrift1"/>
        <w:rPr>
          <w:b/>
          <w:bCs/>
        </w:rPr>
      </w:pPr>
    </w:p>
    <w:p w14:paraId="57B3F246" w14:textId="77777777" w:rsidR="00B7500B" w:rsidRDefault="00B7500B" w:rsidP="00B7500B"/>
    <w:p w14:paraId="2F491067" w14:textId="77777777" w:rsidR="00B7500B" w:rsidRDefault="00B7500B" w:rsidP="00B7500B"/>
    <w:p w14:paraId="24251B68" w14:textId="77777777" w:rsidR="00B7500B" w:rsidRDefault="00B7500B" w:rsidP="00B7500B"/>
    <w:p w14:paraId="15102D73" w14:textId="77777777" w:rsidR="00B7500B" w:rsidRDefault="00B7500B" w:rsidP="00B7500B"/>
    <w:p w14:paraId="75BE4760" w14:textId="77777777" w:rsidR="00B7500B" w:rsidRDefault="00B7500B" w:rsidP="00B7500B"/>
    <w:p w14:paraId="693AF5CF" w14:textId="77777777" w:rsidR="00B7500B" w:rsidRDefault="00B7500B" w:rsidP="00B7500B"/>
    <w:p w14:paraId="703ABAAC" w14:textId="77777777" w:rsidR="00B7500B" w:rsidRDefault="00B7500B" w:rsidP="00B7500B"/>
    <w:p w14:paraId="74663F47" w14:textId="77777777" w:rsidR="00B7500B" w:rsidRDefault="00B7500B" w:rsidP="00B7500B"/>
    <w:p w14:paraId="544A730A" w14:textId="77777777" w:rsidR="00B7500B" w:rsidRPr="00B7500B" w:rsidRDefault="00B7500B" w:rsidP="00B7500B"/>
    <w:p w14:paraId="6D1DF187" w14:textId="6619D744" w:rsidR="002D2329" w:rsidRPr="003C228D" w:rsidRDefault="0073652E" w:rsidP="009A1883">
      <w:pPr>
        <w:pStyle w:val="Overskrift1"/>
        <w:rPr>
          <w:b/>
          <w:bCs/>
        </w:rPr>
      </w:pPr>
      <w:r w:rsidRPr="003C228D">
        <w:rPr>
          <w:b/>
          <w:bCs/>
        </w:rPr>
        <w:lastRenderedPageBreak/>
        <w:t>G</w:t>
      </w:r>
      <w:r w:rsidR="00E77206" w:rsidRPr="003C228D">
        <w:rPr>
          <w:b/>
          <w:bCs/>
        </w:rPr>
        <w:t>eb</w:t>
      </w:r>
      <w:r w:rsidRPr="003C228D">
        <w:rPr>
          <w:b/>
          <w:bCs/>
        </w:rPr>
        <w:t>yrer og virkning</w:t>
      </w:r>
      <w:r w:rsidR="00E77206" w:rsidRPr="003C228D">
        <w:rPr>
          <w:b/>
          <w:bCs/>
        </w:rPr>
        <w:t>en</w:t>
      </w:r>
      <w:r w:rsidRPr="003C228D">
        <w:rPr>
          <w:b/>
          <w:bCs/>
        </w:rPr>
        <w:t xml:space="preserve"> av en </w:t>
      </w:r>
      <w:r w:rsidR="00F16AE3" w:rsidRPr="003C228D">
        <w:rPr>
          <w:b/>
          <w:bCs/>
        </w:rPr>
        <w:t>gebyr</w:t>
      </w:r>
      <w:r w:rsidR="007F4E2F" w:rsidRPr="003C228D">
        <w:rPr>
          <w:b/>
          <w:bCs/>
        </w:rPr>
        <w:t>justering</w:t>
      </w:r>
    </w:p>
    <w:p w14:paraId="4F553130" w14:textId="124CEB76" w:rsidR="00E77206" w:rsidRDefault="00E77206" w:rsidP="00E77206"/>
    <w:p w14:paraId="2BF1CC5C" w14:textId="26B23D64" w:rsidR="00E77206" w:rsidRDefault="00FB6FBF" w:rsidP="00E77206">
      <w:r>
        <w:t xml:space="preserve">Sammenlignet med </w:t>
      </w:r>
      <w:r w:rsidR="00B62438">
        <w:t>en del andre større byer, ligger våre gebyrs</w:t>
      </w:r>
      <w:r w:rsidR="00863404">
        <w:t>atser</w:t>
      </w:r>
      <w:r w:rsidR="00301049">
        <w:t xml:space="preserve"> lavt. Det har normalt vært stor </w:t>
      </w:r>
      <w:r w:rsidR="00C65F62">
        <w:t xml:space="preserve">byggeaktivitet og befolkningsvekst i kommunen, og </w:t>
      </w:r>
      <w:r w:rsidR="00FF78FD">
        <w:t xml:space="preserve">stort saksvolum har gjort at vi </w:t>
      </w:r>
      <w:r w:rsidR="00C5460C">
        <w:t xml:space="preserve">ikke har hatt behov for å </w:t>
      </w:r>
      <w:r w:rsidR="00894AB8">
        <w:t>ha så høye gebyrsatser.</w:t>
      </w:r>
      <w:r w:rsidR="00EA4495">
        <w:t xml:space="preserve"> Dette har endret seg en del de siste 3 årene</w:t>
      </w:r>
      <w:r w:rsidR="00525FC8">
        <w:t xml:space="preserve">, og </w:t>
      </w:r>
      <w:r w:rsidR="004E05F7">
        <w:t xml:space="preserve">vi må derfor se på </w:t>
      </w:r>
      <w:r w:rsidR="00C819C9">
        <w:t xml:space="preserve">hvordan </w:t>
      </w:r>
      <w:r w:rsidR="006F4F4C">
        <w:t xml:space="preserve">inntektssvikten kan kompenseres med en økning i gebyrsatsene. Figur 4 viser </w:t>
      </w:r>
      <w:r w:rsidR="00FA4A97">
        <w:t xml:space="preserve">hvordan </w:t>
      </w:r>
      <w:r w:rsidR="00A963B2">
        <w:t>gebyrsatser for arbeider etter matrikkelloven</w:t>
      </w:r>
      <w:r w:rsidR="002718B6">
        <w:t xml:space="preserve"> i </w:t>
      </w:r>
      <w:r w:rsidR="00FA4A97">
        <w:t>Sandnes ligger an</w:t>
      </w:r>
      <w:r w:rsidR="002718B6">
        <w:t xml:space="preserve"> i forhold til en del sammenlignbare byer</w:t>
      </w:r>
      <w:r w:rsidR="007A745B">
        <w:t>.</w:t>
      </w:r>
    </w:p>
    <w:p w14:paraId="4BACC20D" w14:textId="77777777" w:rsidR="00B7500B" w:rsidRDefault="00B7500B" w:rsidP="00873027"/>
    <w:p w14:paraId="56104F54" w14:textId="77777777" w:rsidR="00B7500B" w:rsidRDefault="00B7500B" w:rsidP="00873027"/>
    <w:tbl>
      <w:tblPr>
        <w:tblW w:w="9406" w:type="dxa"/>
        <w:tblCellMar>
          <w:left w:w="70" w:type="dxa"/>
          <w:right w:w="70" w:type="dxa"/>
        </w:tblCellMar>
        <w:tblLook w:val="04A0" w:firstRow="1" w:lastRow="0" w:firstColumn="1" w:lastColumn="0" w:noHBand="0" w:noVBand="1"/>
      </w:tblPr>
      <w:tblGrid>
        <w:gridCol w:w="3109"/>
        <w:gridCol w:w="1208"/>
        <w:gridCol w:w="1208"/>
        <w:gridCol w:w="1373"/>
        <w:gridCol w:w="1254"/>
        <w:gridCol w:w="1254"/>
      </w:tblGrid>
      <w:tr w:rsidR="003E7A03" w:rsidRPr="003E7A03" w14:paraId="1B1B1981" w14:textId="77777777" w:rsidTr="003E7A03">
        <w:trPr>
          <w:trHeight w:val="288"/>
        </w:trPr>
        <w:tc>
          <w:tcPr>
            <w:tcW w:w="5525" w:type="dxa"/>
            <w:gridSpan w:val="3"/>
            <w:tcBorders>
              <w:top w:val="nil"/>
              <w:left w:val="nil"/>
              <w:bottom w:val="nil"/>
              <w:right w:val="nil"/>
            </w:tcBorders>
            <w:shd w:val="clear" w:color="auto" w:fill="auto"/>
            <w:noWrap/>
            <w:vAlign w:val="bottom"/>
            <w:hideMark/>
          </w:tcPr>
          <w:p w14:paraId="0D009369" w14:textId="32A845B1" w:rsidR="003E7A03" w:rsidRPr="003E7A03" w:rsidRDefault="003E7A03" w:rsidP="003E7A03">
            <w:pPr>
              <w:rPr>
                <w:rFonts w:eastAsia="Times New Roman"/>
                <w:b/>
                <w:bCs/>
                <w:color w:val="000000"/>
                <w:lang w:eastAsia="nb-NO"/>
              </w:rPr>
            </w:pPr>
            <w:r w:rsidRPr="003E7A03">
              <w:rPr>
                <w:rFonts w:eastAsia="Times New Roman"/>
                <w:b/>
                <w:bCs/>
                <w:color w:val="000000"/>
                <w:lang w:eastAsia="nb-NO"/>
              </w:rPr>
              <w:t xml:space="preserve">GEBYRER 2020 </w:t>
            </w:r>
            <w:r w:rsidR="00D31E46">
              <w:rPr>
                <w:rFonts w:eastAsia="Times New Roman"/>
                <w:b/>
                <w:bCs/>
                <w:color w:val="000000"/>
                <w:lang w:eastAsia="nb-NO"/>
              </w:rPr>
              <w:t xml:space="preserve">SAMMENLIGNET MED </w:t>
            </w:r>
            <w:r w:rsidRPr="003E7A03">
              <w:rPr>
                <w:rFonts w:eastAsia="Times New Roman"/>
                <w:b/>
                <w:bCs/>
                <w:color w:val="000000"/>
                <w:lang w:eastAsia="nb-NO"/>
              </w:rPr>
              <w:t>ANDRE KOMMUNER - identiske saker:</w:t>
            </w:r>
          </w:p>
        </w:tc>
        <w:tc>
          <w:tcPr>
            <w:tcW w:w="1373" w:type="dxa"/>
            <w:tcBorders>
              <w:top w:val="nil"/>
              <w:left w:val="nil"/>
              <w:bottom w:val="nil"/>
              <w:right w:val="nil"/>
            </w:tcBorders>
            <w:shd w:val="clear" w:color="auto" w:fill="auto"/>
            <w:noWrap/>
            <w:vAlign w:val="bottom"/>
            <w:hideMark/>
          </w:tcPr>
          <w:p w14:paraId="6A23EA19" w14:textId="77777777" w:rsidR="003E7A03" w:rsidRPr="003E7A03" w:rsidRDefault="003E7A03" w:rsidP="003E7A03">
            <w:pPr>
              <w:rPr>
                <w:rFonts w:eastAsia="Times New Roman"/>
                <w:color w:val="000000"/>
                <w:lang w:eastAsia="nb-NO"/>
              </w:rPr>
            </w:pPr>
          </w:p>
        </w:tc>
        <w:tc>
          <w:tcPr>
            <w:tcW w:w="1254" w:type="dxa"/>
            <w:tcBorders>
              <w:top w:val="nil"/>
              <w:left w:val="nil"/>
              <w:bottom w:val="nil"/>
              <w:right w:val="nil"/>
            </w:tcBorders>
            <w:shd w:val="clear" w:color="auto" w:fill="auto"/>
            <w:noWrap/>
            <w:vAlign w:val="bottom"/>
            <w:hideMark/>
          </w:tcPr>
          <w:p w14:paraId="7ED8C1CE" w14:textId="77777777" w:rsidR="003E7A03" w:rsidRPr="003E7A03" w:rsidRDefault="003E7A03" w:rsidP="003E7A03">
            <w:pPr>
              <w:rPr>
                <w:rFonts w:ascii="Times New Roman" w:eastAsia="Times New Roman" w:hAnsi="Times New Roman" w:cs="Times New Roman"/>
                <w:sz w:val="20"/>
                <w:szCs w:val="20"/>
                <w:lang w:eastAsia="nb-NO"/>
              </w:rPr>
            </w:pPr>
          </w:p>
        </w:tc>
        <w:tc>
          <w:tcPr>
            <w:tcW w:w="1254" w:type="dxa"/>
            <w:tcBorders>
              <w:top w:val="nil"/>
              <w:left w:val="nil"/>
              <w:bottom w:val="nil"/>
              <w:right w:val="nil"/>
            </w:tcBorders>
            <w:shd w:val="clear" w:color="auto" w:fill="auto"/>
            <w:noWrap/>
            <w:vAlign w:val="bottom"/>
            <w:hideMark/>
          </w:tcPr>
          <w:p w14:paraId="5C8FFE49" w14:textId="77777777" w:rsidR="003E7A03" w:rsidRPr="003E7A03" w:rsidRDefault="003E7A03" w:rsidP="003E7A03">
            <w:pPr>
              <w:rPr>
                <w:rFonts w:ascii="Times New Roman" w:eastAsia="Times New Roman" w:hAnsi="Times New Roman" w:cs="Times New Roman"/>
                <w:sz w:val="20"/>
                <w:szCs w:val="20"/>
                <w:lang w:eastAsia="nb-NO"/>
              </w:rPr>
            </w:pPr>
          </w:p>
        </w:tc>
      </w:tr>
      <w:tr w:rsidR="003E7A03" w:rsidRPr="003E7A03" w14:paraId="234E28F1" w14:textId="77777777" w:rsidTr="003E7A03">
        <w:trPr>
          <w:trHeight w:val="864"/>
        </w:trPr>
        <w:tc>
          <w:tcPr>
            <w:tcW w:w="3109" w:type="dxa"/>
            <w:tcBorders>
              <w:top w:val="nil"/>
              <w:left w:val="single" w:sz="4" w:space="0" w:color="FFFFFF"/>
              <w:bottom w:val="single" w:sz="12" w:space="0" w:color="FFFFFF"/>
              <w:right w:val="single" w:sz="4" w:space="0" w:color="FFFFFF"/>
            </w:tcBorders>
            <w:shd w:val="clear" w:color="4BACC6" w:fill="4BACC6"/>
            <w:noWrap/>
            <w:hideMark/>
          </w:tcPr>
          <w:p w14:paraId="79AE1B50" w14:textId="77777777" w:rsidR="003E7A03" w:rsidRPr="003E7A03" w:rsidRDefault="003E7A03" w:rsidP="003E7A03">
            <w:pPr>
              <w:rPr>
                <w:rFonts w:eastAsia="Times New Roman"/>
                <w:b/>
                <w:bCs/>
                <w:color w:val="FFFFFF"/>
                <w:sz w:val="20"/>
                <w:szCs w:val="20"/>
                <w:lang w:eastAsia="nb-NO"/>
              </w:rPr>
            </w:pPr>
            <w:r w:rsidRPr="003E7A03">
              <w:rPr>
                <w:rFonts w:eastAsia="Times New Roman"/>
                <w:b/>
                <w:bCs/>
                <w:color w:val="FFFFFF"/>
                <w:sz w:val="20"/>
                <w:szCs w:val="20"/>
                <w:lang w:eastAsia="nb-NO"/>
              </w:rPr>
              <w:t>Type sak</w:t>
            </w:r>
          </w:p>
        </w:tc>
        <w:tc>
          <w:tcPr>
            <w:tcW w:w="1208" w:type="dxa"/>
            <w:tcBorders>
              <w:top w:val="nil"/>
              <w:left w:val="single" w:sz="4" w:space="0" w:color="FFFFFF"/>
              <w:bottom w:val="single" w:sz="12" w:space="0" w:color="FFFFFF"/>
              <w:right w:val="single" w:sz="4" w:space="0" w:color="FFFFFF"/>
            </w:tcBorders>
            <w:shd w:val="clear" w:color="4BACC6" w:fill="4BACC6"/>
            <w:noWrap/>
            <w:hideMark/>
          </w:tcPr>
          <w:p w14:paraId="275AC7C5" w14:textId="77777777" w:rsidR="003E7A03" w:rsidRPr="003E7A03" w:rsidRDefault="003E7A03" w:rsidP="003E7A03">
            <w:pPr>
              <w:rPr>
                <w:rFonts w:eastAsia="Times New Roman"/>
                <w:b/>
                <w:bCs/>
                <w:color w:val="FFFFFF"/>
                <w:sz w:val="20"/>
                <w:szCs w:val="20"/>
                <w:lang w:eastAsia="nb-NO"/>
              </w:rPr>
            </w:pPr>
            <w:r w:rsidRPr="003E7A03">
              <w:rPr>
                <w:rFonts w:eastAsia="Times New Roman"/>
                <w:b/>
                <w:bCs/>
                <w:color w:val="FFFFFF"/>
                <w:sz w:val="20"/>
                <w:szCs w:val="20"/>
                <w:lang w:eastAsia="nb-NO"/>
              </w:rPr>
              <w:t>Bergen</w:t>
            </w:r>
          </w:p>
        </w:tc>
        <w:tc>
          <w:tcPr>
            <w:tcW w:w="1208" w:type="dxa"/>
            <w:tcBorders>
              <w:top w:val="nil"/>
              <w:left w:val="single" w:sz="4" w:space="0" w:color="FFFFFF"/>
              <w:bottom w:val="single" w:sz="12" w:space="0" w:color="FFFFFF"/>
              <w:right w:val="single" w:sz="4" w:space="0" w:color="FFFFFF"/>
            </w:tcBorders>
            <w:shd w:val="clear" w:color="4BACC6" w:fill="4BACC6"/>
            <w:noWrap/>
            <w:hideMark/>
          </w:tcPr>
          <w:p w14:paraId="60AEA635" w14:textId="77777777" w:rsidR="003E7A03" w:rsidRPr="003E7A03" w:rsidRDefault="003E7A03" w:rsidP="003E7A03">
            <w:pPr>
              <w:rPr>
                <w:rFonts w:eastAsia="Times New Roman"/>
                <w:b/>
                <w:bCs/>
                <w:color w:val="FFFFFF"/>
                <w:sz w:val="20"/>
                <w:szCs w:val="20"/>
                <w:lang w:eastAsia="nb-NO"/>
              </w:rPr>
            </w:pPr>
            <w:r w:rsidRPr="003E7A03">
              <w:rPr>
                <w:rFonts w:eastAsia="Times New Roman"/>
                <w:b/>
                <w:bCs/>
                <w:color w:val="FFFFFF"/>
                <w:sz w:val="20"/>
                <w:szCs w:val="20"/>
                <w:lang w:eastAsia="nb-NO"/>
              </w:rPr>
              <w:t>Stavanger</w:t>
            </w:r>
          </w:p>
        </w:tc>
        <w:tc>
          <w:tcPr>
            <w:tcW w:w="1373" w:type="dxa"/>
            <w:tcBorders>
              <w:top w:val="nil"/>
              <w:left w:val="single" w:sz="4" w:space="0" w:color="FFFFFF"/>
              <w:bottom w:val="single" w:sz="12" w:space="0" w:color="FFFFFF"/>
              <w:right w:val="single" w:sz="4" w:space="0" w:color="FFFFFF"/>
            </w:tcBorders>
            <w:shd w:val="clear" w:color="4BACC6" w:fill="4BACC6"/>
            <w:noWrap/>
            <w:hideMark/>
          </w:tcPr>
          <w:p w14:paraId="272B30B2" w14:textId="77777777" w:rsidR="003E7A03" w:rsidRPr="003E7A03" w:rsidRDefault="003E7A03" w:rsidP="003E7A03">
            <w:pPr>
              <w:rPr>
                <w:rFonts w:eastAsia="Times New Roman"/>
                <w:b/>
                <w:bCs/>
                <w:color w:val="FFFFFF"/>
                <w:sz w:val="20"/>
                <w:szCs w:val="20"/>
                <w:lang w:eastAsia="nb-NO"/>
              </w:rPr>
            </w:pPr>
            <w:r w:rsidRPr="003E7A03">
              <w:rPr>
                <w:rFonts w:eastAsia="Times New Roman"/>
                <w:b/>
                <w:bCs/>
                <w:color w:val="FFFFFF"/>
                <w:sz w:val="20"/>
                <w:szCs w:val="20"/>
                <w:lang w:eastAsia="nb-NO"/>
              </w:rPr>
              <w:t>Kristiansand</w:t>
            </w:r>
          </w:p>
        </w:tc>
        <w:tc>
          <w:tcPr>
            <w:tcW w:w="1254" w:type="dxa"/>
            <w:tcBorders>
              <w:top w:val="nil"/>
              <w:left w:val="single" w:sz="4" w:space="0" w:color="FFFFFF"/>
              <w:bottom w:val="single" w:sz="12" w:space="0" w:color="FFFFFF"/>
              <w:right w:val="single" w:sz="4" w:space="0" w:color="FFFFFF"/>
            </w:tcBorders>
            <w:shd w:val="clear" w:color="4BACC6" w:fill="4BACC6"/>
            <w:noWrap/>
            <w:hideMark/>
          </w:tcPr>
          <w:p w14:paraId="3EF7F6A7" w14:textId="77777777" w:rsidR="003E7A03" w:rsidRPr="003E7A03" w:rsidRDefault="003E7A03" w:rsidP="003E7A03">
            <w:pPr>
              <w:rPr>
                <w:rFonts w:eastAsia="Times New Roman"/>
                <w:b/>
                <w:bCs/>
                <w:color w:val="FFFFFF"/>
                <w:sz w:val="20"/>
                <w:szCs w:val="20"/>
                <w:lang w:eastAsia="nb-NO"/>
              </w:rPr>
            </w:pPr>
            <w:r w:rsidRPr="003E7A03">
              <w:rPr>
                <w:rFonts w:eastAsia="Times New Roman"/>
                <w:b/>
                <w:bCs/>
                <w:color w:val="FFFFFF"/>
                <w:sz w:val="20"/>
                <w:szCs w:val="20"/>
                <w:lang w:eastAsia="nb-NO"/>
              </w:rPr>
              <w:t>Drammen</w:t>
            </w:r>
          </w:p>
        </w:tc>
        <w:tc>
          <w:tcPr>
            <w:tcW w:w="1254" w:type="dxa"/>
            <w:tcBorders>
              <w:top w:val="nil"/>
              <w:left w:val="single" w:sz="4" w:space="0" w:color="FFFFFF"/>
              <w:bottom w:val="single" w:sz="12" w:space="0" w:color="FFFFFF"/>
              <w:right w:val="single" w:sz="4" w:space="0" w:color="FFFFFF"/>
            </w:tcBorders>
            <w:shd w:val="clear" w:color="000000" w:fill="76933C"/>
            <w:noWrap/>
            <w:hideMark/>
          </w:tcPr>
          <w:p w14:paraId="49BE4447" w14:textId="77777777" w:rsidR="003E7A03" w:rsidRPr="003E7A03" w:rsidRDefault="003E7A03" w:rsidP="003E7A03">
            <w:pPr>
              <w:rPr>
                <w:rFonts w:eastAsia="Times New Roman"/>
                <w:b/>
                <w:bCs/>
                <w:color w:val="FFFFFF"/>
                <w:sz w:val="20"/>
                <w:szCs w:val="20"/>
                <w:lang w:eastAsia="nb-NO"/>
              </w:rPr>
            </w:pPr>
            <w:r w:rsidRPr="003E7A03">
              <w:rPr>
                <w:rFonts w:eastAsia="Times New Roman"/>
                <w:b/>
                <w:bCs/>
                <w:color w:val="FFFFFF"/>
                <w:sz w:val="20"/>
                <w:szCs w:val="20"/>
                <w:lang w:eastAsia="nb-NO"/>
              </w:rPr>
              <w:t>Sandnes</w:t>
            </w:r>
          </w:p>
        </w:tc>
      </w:tr>
      <w:tr w:rsidR="003E7A03" w:rsidRPr="003E7A03" w14:paraId="5F01DF0C" w14:textId="77777777" w:rsidTr="003E7A03">
        <w:trPr>
          <w:trHeight w:val="288"/>
        </w:trPr>
        <w:tc>
          <w:tcPr>
            <w:tcW w:w="3109"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08857487"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arealoverføring</w:t>
            </w:r>
          </w:p>
        </w:tc>
        <w:tc>
          <w:tcPr>
            <w:tcW w:w="1208"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02D423C2"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30 210 </w:t>
            </w:r>
          </w:p>
        </w:tc>
        <w:tc>
          <w:tcPr>
            <w:tcW w:w="1208"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1F6C6C3F"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17 300 </w:t>
            </w:r>
          </w:p>
        </w:tc>
        <w:tc>
          <w:tcPr>
            <w:tcW w:w="1373"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1D816B28"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22 000 </w:t>
            </w:r>
          </w:p>
        </w:tc>
        <w:tc>
          <w:tcPr>
            <w:tcW w:w="1254"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08F8A5D7"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16 860 </w:t>
            </w:r>
          </w:p>
        </w:tc>
        <w:tc>
          <w:tcPr>
            <w:tcW w:w="1254"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45FEE772"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17 400 </w:t>
            </w:r>
          </w:p>
        </w:tc>
      </w:tr>
      <w:tr w:rsidR="003E7A03" w:rsidRPr="003E7A03" w14:paraId="04DC5ED2" w14:textId="77777777" w:rsidTr="003E7A03">
        <w:trPr>
          <w:trHeight w:val="288"/>
        </w:trPr>
        <w:tc>
          <w:tcPr>
            <w:tcW w:w="3109"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65D6B902"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festegrunn</w:t>
            </w:r>
          </w:p>
        </w:tc>
        <w:tc>
          <w:tcPr>
            <w:tcW w:w="1208"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79845FE9"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37 460 </w:t>
            </w:r>
          </w:p>
        </w:tc>
        <w:tc>
          <w:tcPr>
            <w:tcW w:w="1208"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666053D8"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26 700 </w:t>
            </w:r>
          </w:p>
        </w:tc>
        <w:tc>
          <w:tcPr>
            <w:tcW w:w="1373"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187D7C62"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26 800 </w:t>
            </w:r>
          </w:p>
        </w:tc>
        <w:tc>
          <w:tcPr>
            <w:tcW w:w="1254"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21197932"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28 660 </w:t>
            </w:r>
          </w:p>
        </w:tc>
        <w:tc>
          <w:tcPr>
            <w:tcW w:w="1254"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694B327A"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24 400 </w:t>
            </w:r>
          </w:p>
        </w:tc>
      </w:tr>
      <w:tr w:rsidR="003E7A03" w:rsidRPr="003E7A03" w14:paraId="6342459F" w14:textId="77777777" w:rsidTr="003E7A03">
        <w:trPr>
          <w:trHeight w:val="288"/>
        </w:trPr>
        <w:tc>
          <w:tcPr>
            <w:tcW w:w="3109"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152E525E"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grensejustering</w:t>
            </w:r>
          </w:p>
        </w:tc>
        <w:tc>
          <w:tcPr>
            <w:tcW w:w="1208"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2D1A9CD8"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19 120 </w:t>
            </w:r>
          </w:p>
        </w:tc>
        <w:tc>
          <w:tcPr>
            <w:tcW w:w="1208"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70FFC2E3"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17 100 </w:t>
            </w:r>
          </w:p>
        </w:tc>
        <w:tc>
          <w:tcPr>
            <w:tcW w:w="1373"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1EE4760E"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20 500 </w:t>
            </w:r>
          </w:p>
        </w:tc>
        <w:tc>
          <w:tcPr>
            <w:tcW w:w="1254"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3D91A6AA"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15 180 </w:t>
            </w:r>
          </w:p>
        </w:tc>
        <w:tc>
          <w:tcPr>
            <w:tcW w:w="1254"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17B3AEB6"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7 800 </w:t>
            </w:r>
          </w:p>
        </w:tc>
      </w:tr>
      <w:tr w:rsidR="003E7A03" w:rsidRPr="003E7A03" w14:paraId="3BAA834A" w14:textId="77777777" w:rsidTr="003E7A03">
        <w:trPr>
          <w:trHeight w:val="288"/>
        </w:trPr>
        <w:tc>
          <w:tcPr>
            <w:tcW w:w="3109"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0075C5DF"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grenser uteareal eierseksjonering</w:t>
            </w:r>
          </w:p>
        </w:tc>
        <w:tc>
          <w:tcPr>
            <w:tcW w:w="1208"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4134BF13"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20 230 </w:t>
            </w:r>
          </w:p>
        </w:tc>
        <w:tc>
          <w:tcPr>
            <w:tcW w:w="1208"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1F930530"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16 700 </w:t>
            </w:r>
          </w:p>
        </w:tc>
        <w:tc>
          <w:tcPr>
            <w:tcW w:w="1373"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663AB3BD"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14 600 </w:t>
            </w:r>
          </w:p>
        </w:tc>
        <w:tc>
          <w:tcPr>
            <w:tcW w:w="1254"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750E476D"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16 860 </w:t>
            </w:r>
          </w:p>
        </w:tc>
        <w:tc>
          <w:tcPr>
            <w:tcW w:w="1254"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3FD724C6"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10 100 </w:t>
            </w:r>
          </w:p>
        </w:tc>
      </w:tr>
      <w:tr w:rsidR="003E7A03" w:rsidRPr="003E7A03" w14:paraId="5D83F0A2" w14:textId="77777777" w:rsidTr="003E7A03">
        <w:trPr>
          <w:trHeight w:val="288"/>
        </w:trPr>
        <w:tc>
          <w:tcPr>
            <w:tcW w:w="3109"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177B930A"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grunneiendom</w:t>
            </w:r>
          </w:p>
        </w:tc>
        <w:tc>
          <w:tcPr>
            <w:tcW w:w="1208"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7AC4A259"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37 460 </w:t>
            </w:r>
          </w:p>
        </w:tc>
        <w:tc>
          <w:tcPr>
            <w:tcW w:w="1208"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6495279E"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26 700 </w:t>
            </w:r>
          </w:p>
        </w:tc>
        <w:tc>
          <w:tcPr>
            <w:tcW w:w="1373"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491DB8D5"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26 800 </w:t>
            </w:r>
          </w:p>
        </w:tc>
        <w:tc>
          <w:tcPr>
            <w:tcW w:w="1254"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14489474"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28 660 </w:t>
            </w:r>
          </w:p>
        </w:tc>
        <w:tc>
          <w:tcPr>
            <w:tcW w:w="1254"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3F73EE26"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24 400 </w:t>
            </w:r>
          </w:p>
        </w:tc>
      </w:tr>
      <w:tr w:rsidR="003E7A03" w:rsidRPr="003E7A03" w14:paraId="72DFE565" w14:textId="77777777" w:rsidTr="003E7A03">
        <w:trPr>
          <w:trHeight w:val="288"/>
        </w:trPr>
        <w:tc>
          <w:tcPr>
            <w:tcW w:w="3109"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29B365F9"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utbyggingsområde</w:t>
            </w:r>
          </w:p>
        </w:tc>
        <w:tc>
          <w:tcPr>
            <w:tcW w:w="1208"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625BC33E"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79 870 </w:t>
            </w:r>
          </w:p>
        </w:tc>
        <w:tc>
          <w:tcPr>
            <w:tcW w:w="1208"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755E0DCB"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68 100 </w:t>
            </w:r>
          </w:p>
        </w:tc>
        <w:tc>
          <w:tcPr>
            <w:tcW w:w="1373"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344410A5"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64 600 </w:t>
            </w:r>
          </w:p>
        </w:tc>
        <w:tc>
          <w:tcPr>
            <w:tcW w:w="1254"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323F52FF"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84 460 </w:t>
            </w:r>
          </w:p>
        </w:tc>
        <w:tc>
          <w:tcPr>
            <w:tcW w:w="1254" w:type="dxa"/>
            <w:tcBorders>
              <w:top w:val="single" w:sz="4" w:space="0" w:color="FFFFFF"/>
              <w:left w:val="single" w:sz="4" w:space="0" w:color="FFFFFF"/>
              <w:bottom w:val="single" w:sz="4" w:space="0" w:color="FFFFFF"/>
              <w:right w:val="single" w:sz="4" w:space="0" w:color="FFFFFF"/>
            </w:tcBorders>
            <w:shd w:val="clear" w:color="DAEEF3" w:fill="DAEEF3"/>
            <w:noWrap/>
            <w:vAlign w:val="bottom"/>
            <w:hideMark/>
          </w:tcPr>
          <w:p w14:paraId="425FDE4C"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55 000 </w:t>
            </w:r>
          </w:p>
        </w:tc>
      </w:tr>
      <w:tr w:rsidR="003E7A03" w:rsidRPr="003E7A03" w14:paraId="282E833F" w14:textId="77777777" w:rsidTr="003E7A03">
        <w:trPr>
          <w:trHeight w:val="288"/>
        </w:trPr>
        <w:tc>
          <w:tcPr>
            <w:tcW w:w="3109"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12704117"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klarlegging sikre grenser</w:t>
            </w:r>
          </w:p>
        </w:tc>
        <w:tc>
          <w:tcPr>
            <w:tcW w:w="1208"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777DCA52"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10 610 </w:t>
            </w:r>
          </w:p>
        </w:tc>
        <w:tc>
          <w:tcPr>
            <w:tcW w:w="1208"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2FC7AA1F"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3 700 </w:t>
            </w:r>
          </w:p>
        </w:tc>
        <w:tc>
          <w:tcPr>
            <w:tcW w:w="1373"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19D62455"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4 950 </w:t>
            </w:r>
          </w:p>
        </w:tc>
        <w:tc>
          <w:tcPr>
            <w:tcW w:w="1254"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473C85C7"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6 200 </w:t>
            </w:r>
          </w:p>
        </w:tc>
        <w:tc>
          <w:tcPr>
            <w:tcW w:w="1254" w:type="dxa"/>
            <w:tcBorders>
              <w:top w:val="single" w:sz="4" w:space="0" w:color="FFFFFF"/>
              <w:left w:val="single" w:sz="4" w:space="0" w:color="FFFFFF"/>
              <w:bottom w:val="single" w:sz="4" w:space="0" w:color="FFFFFF"/>
              <w:right w:val="single" w:sz="4" w:space="0" w:color="FFFFFF"/>
            </w:tcBorders>
            <w:shd w:val="clear" w:color="B7DEE8" w:fill="B7DEE8"/>
            <w:noWrap/>
            <w:vAlign w:val="bottom"/>
            <w:hideMark/>
          </w:tcPr>
          <w:p w14:paraId="77E50645"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5 800 </w:t>
            </w:r>
          </w:p>
        </w:tc>
      </w:tr>
      <w:tr w:rsidR="003E7A03" w:rsidRPr="003E7A03" w14:paraId="45BA2A24" w14:textId="77777777" w:rsidTr="003E7A03">
        <w:trPr>
          <w:trHeight w:val="288"/>
        </w:trPr>
        <w:tc>
          <w:tcPr>
            <w:tcW w:w="3109" w:type="dxa"/>
            <w:tcBorders>
              <w:top w:val="single" w:sz="4" w:space="0" w:color="FFFFFF"/>
              <w:left w:val="single" w:sz="4" w:space="0" w:color="FFFFFF"/>
              <w:bottom w:val="nil"/>
              <w:right w:val="single" w:sz="4" w:space="0" w:color="FFFFFF"/>
            </w:tcBorders>
            <w:shd w:val="clear" w:color="DAEEF3" w:fill="DAEEF3"/>
            <w:noWrap/>
            <w:vAlign w:val="bottom"/>
            <w:hideMark/>
          </w:tcPr>
          <w:p w14:paraId="1B6DDD3C"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klarlegging usikre grenser</w:t>
            </w:r>
          </w:p>
        </w:tc>
        <w:tc>
          <w:tcPr>
            <w:tcW w:w="1208" w:type="dxa"/>
            <w:tcBorders>
              <w:top w:val="single" w:sz="4" w:space="0" w:color="FFFFFF"/>
              <w:left w:val="single" w:sz="4" w:space="0" w:color="FFFFFF"/>
              <w:bottom w:val="nil"/>
              <w:right w:val="single" w:sz="4" w:space="0" w:color="FFFFFF"/>
            </w:tcBorders>
            <w:shd w:val="clear" w:color="DAEEF3" w:fill="DAEEF3"/>
            <w:noWrap/>
            <w:vAlign w:val="bottom"/>
            <w:hideMark/>
          </w:tcPr>
          <w:p w14:paraId="60CCF600"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15 450 </w:t>
            </w:r>
          </w:p>
        </w:tc>
        <w:tc>
          <w:tcPr>
            <w:tcW w:w="1208" w:type="dxa"/>
            <w:tcBorders>
              <w:top w:val="single" w:sz="4" w:space="0" w:color="FFFFFF"/>
              <w:left w:val="single" w:sz="4" w:space="0" w:color="FFFFFF"/>
              <w:bottom w:val="nil"/>
              <w:right w:val="single" w:sz="4" w:space="0" w:color="FFFFFF"/>
            </w:tcBorders>
            <w:shd w:val="clear" w:color="DAEEF3" w:fill="DAEEF3"/>
            <w:noWrap/>
            <w:vAlign w:val="bottom"/>
            <w:hideMark/>
          </w:tcPr>
          <w:p w14:paraId="32064879"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6 300 </w:t>
            </w:r>
          </w:p>
        </w:tc>
        <w:tc>
          <w:tcPr>
            <w:tcW w:w="1373" w:type="dxa"/>
            <w:tcBorders>
              <w:top w:val="single" w:sz="4" w:space="0" w:color="FFFFFF"/>
              <w:left w:val="single" w:sz="4" w:space="0" w:color="FFFFFF"/>
              <w:bottom w:val="nil"/>
              <w:right w:val="single" w:sz="4" w:space="0" w:color="FFFFFF"/>
            </w:tcBorders>
            <w:shd w:val="clear" w:color="DAEEF3" w:fill="DAEEF3"/>
            <w:noWrap/>
            <w:vAlign w:val="bottom"/>
            <w:hideMark/>
          </w:tcPr>
          <w:p w14:paraId="36172811"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4 950 </w:t>
            </w:r>
          </w:p>
        </w:tc>
        <w:tc>
          <w:tcPr>
            <w:tcW w:w="1254" w:type="dxa"/>
            <w:tcBorders>
              <w:top w:val="single" w:sz="4" w:space="0" w:color="FFFFFF"/>
              <w:left w:val="single" w:sz="4" w:space="0" w:color="FFFFFF"/>
              <w:bottom w:val="nil"/>
              <w:right w:val="single" w:sz="4" w:space="0" w:color="FFFFFF"/>
            </w:tcBorders>
            <w:shd w:val="clear" w:color="DAEEF3" w:fill="DAEEF3"/>
            <w:noWrap/>
            <w:vAlign w:val="bottom"/>
            <w:hideMark/>
          </w:tcPr>
          <w:p w14:paraId="3168F369"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10 120 </w:t>
            </w:r>
          </w:p>
        </w:tc>
        <w:tc>
          <w:tcPr>
            <w:tcW w:w="1254" w:type="dxa"/>
            <w:tcBorders>
              <w:top w:val="single" w:sz="4" w:space="0" w:color="FFFFFF"/>
              <w:left w:val="single" w:sz="4" w:space="0" w:color="FFFFFF"/>
              <w:bottom w:val="nil"/>
              <w:right w:val="single" w:sz="4" w:space="0" w:color="FFFFFF"/>
            </w:tcBorders>
            <w:shd w:val="clear" w:color="DAEEF3" w:fill="DAEEF3"/>
            <w:noWrap/>
            <w:vAlign w:val="bottom"/>
            <w:hideMark/>
          </w:tcPr>
          <w:p w14:paraId="224ED7D1" w14:textId="77777777" w:rsidR="003E7A03" w:rsidRPr="003E7A03" w:rsidRDefault="003E7A03" w:rsidP="003E7A03">
            <w:pPr>
              <w:rPr>
                <w:rFonts w:eastAsia="Times New Roman"/>
                <w:color w:val="000000"/>
                <w:sz w:val="20"/>
                <w:szCs w:val="20"/>
                <w:lang w:eastAsia="nb-NO"/>
              </w:rPr>
            </w:pPr>
            <w:r w:rsidRPr="003E7A03">
              <w:rPr>
                <w:rFonts w:eastAsia="Times New Roman"/>
                <w:color w:val="000000"/>
                <w:sz w:val="20"/>
                <w:szCs w:val="20"/>
                <w:lang w:eastAsia="nb-NO"/>
              </w:rPr>
              <w:t xml:space="preserve">             9 000 </w:t>
            </w:r>
          </w:p>
        </w:tc>
      </w:tr>
      <w:tr w:rsidR="003E7A03" w:rsidRPr="003E7A03" w14:paraId="52AA6EDC" w14:textId="77777777" w:rsidTr="003E7A03">
        <w:trPr>
          <w:trHeight w:val="288"/>
        </w:trPr>
        <w:tc>
          <w:tcPr>
            <w:tcW w:w="3109" w:type="dxa"/>
            <w:tcBorders>
              <w:top w:val="nil"/>
              <w:left w:val="nil"/>
              <w:bottom w:val="nil"/>
              <w:right w:val="nil"/>
            </w:tcBorders>
            <w:shd w:val="clear" w:color="auto" w:fill="auto"/>
            <w:noWrap/>
            <w:vAlign w:val="bottom"/>
            <w:hideMark/>
          </w:tcPr>
          <w:p w14:paraId="11EF9048" w14:textId="77777777" w:rsidR="003E7A03" w:rsidRPr="003E7A03" w:rsidRDefault="003E7A03" w:rsidP="003E7A03">
            <w:pPr>
              <w:rPr>
                <w:rFonts w:eastAsia="Times New Roman"/>
                <w:color w:val="000000"/>
                <w:sz w:val="20"/>
                <w:szCs w:val="20"/>
                <w:lang w:eastAsia="nb-NO"/>
              </w:rPr>
            </w:pPr>
          </w:p>
        </w:tc>
        <w:tc>
          <w:tcPr>
            <w:tcW w:w="1208" w:type="dxa"/>
            <w:tcBorders>
              <w:top w:val="nil"/>
              <w:left w:val="nil"/>
              <w:bottom w:val="nil"/>
              <w:right w:val="nil"/>
            </w:tcBorders>
            <w:shd w:val="clear" w:color="auto" w:fill="auto"/>
            <w:noWrap/>
            <w:vAlign w:val="bottom"/>
            <w:hideMark/>
          </w:tcPr>
          <w:p w14:paraId="2E7ECE88" w14:textId="77777777" w:rsidR="003E7A03" w:rsidRPr="003E7A03" w:rsidRDefault="003E7A03" w:rsidP="003E7A03">
            <w:pPr>
              <w:jc w:val="right"/>
              <w:rPr>
                <w:rFonts w:ascii="Times New Roman" w:eastAsia="Times New Roman" w:hAnsi="Times New Roman" w:cs="Times New Roman"/>
                <w:sz w:val="20"/>
                <w:szCs w:val="20"/>
                <w:lang w:eastAsia="nb-NO"/>
              </w:rPr>
            </w:pPr>
          </w:p>
        </w:tc>
        <w:tc>
          <w:tcPr>
            <w:tcW w:w="1208" w:type="dxa"/>
            <w:tcBorders>
              <w:top w:val="nil"/>
              <w:left w:val="nil"/>
              <w:bottom w:val="nil"/>
              <w:right w:val="nil"/>
            </w:tcBorders>
            <w:shd w:val="clear" w:color="auto" w:fill="auto"/>
            <w:noWrap/>
            <w:vAlign w:val="bottom"/>
            <w:hideMark/>
          </w:tcPr>
          <w:p w14:paraId="51C60FF9" w14:textId="77777777" w:rsidR="003E7A03" w:rsidRPr="003E7A03" w:rsidRDefault="003E7A03" w:rsidP="003E7A03">
            <w:pPr>
              <w:jc w:val="right"/>
              <w:rPr>
                <w:rFonts w:ascii="Times New Roman" w:eastAsia="Times New Roman" w:hAnsi="Times New Roman" w:cs="Times New Roman"/>
                <w:sz w:val="20"/>
                <w:szCs w:val="20"/>
                <w:lang w:eastAsia="nb-NO"/>
              </w:rPr>
            </w:pPr>
          </w:p>
        </w:tc>
        <w:tc>
          <w:tcPr>
            <w:tcW w:w="1373" w:type="dxa"/>
            <w:tcBorders>
              <w:top w:val="nil"/>
              <w:left w:val="nil"/>
              <w:bottom w:val="nil"/>
              <w:right w:val="nil"/>
            </w:tcBorders>
            <w:shd w:val="clear" w:color="auto" w:fill="auto"/>
            <w:noWrap/>
            <w:vAlign w:val="bottom"/>
            <w:hideMark/>
          </w:tcPr>
          <w:p w14:paraId="365F91C2" w14:textId="77777777" w:rsidR="003E7A03" w:rsidRPr="003E7A03" w:rsidRDefault="003E7A03" w:rsidP="003E7A03">
            <w:pPr>
              <w:jc w:val="right"/>
              <w:rPr>
                <w:rFonts w:ascii="Times New Roman" w:eastAsia="Times New Roman" w:hAnsi="Times New Roman" w:cs="Times New Roman"/>
                <w:sz w:val="20"/>
                <w:szCs w:val="20"/>
                <w:lang w:eastAsia="nb-NO"/>
              </w:rPr>
            </w:pPr>
          </w:p>
        </w:tc>
        <w:tc>
          <w:tcPr>
            <w:tcW w:w="1254" w:type="dxa"/>
            <w:tcBorders>
              <w:top w:val="nil"/>
              <w:left w:val="nil"/>
              <w:bottom w:val="nil"/>
              <w:right w:val="nil"/>
            </w:tcBorders>
            <w:shd w:val="clear" w:color="auto" w:fill="auto"/>
            <w:noWrap/>
            <w:vAlign w:val="bottom"/>
            <w:hideMark/>
          </w:tcPr>
          <w:p w14:paraId="0B679233" w14:textId="77777777" w:rsidR="003E7A03" w:rsidRPr="003E7A03" w:rsidRDefault="003E7A03" w:rsidP="003E7A03">
            <w:pPr>
              <w:jc w:val="right"/>
              <w:rPr>
                <w:rFonts w:ascii="Times New Roman" w:eastAsia="Times New Roman" w:hAnsi="Times New Roman" w:cs="Times New Roman"/>
                <w:sz w:val="20"/>
                <w:szCs w:val="20"/>
                <w:lang w:eastAsia="nb-NO"/>
              </w:rPr>
            </w:pPr>
          </w:p>
        </w:tc>
        <w:tc>
          <w:tcPr>
            <w:tcW w:w="1254" w:type="dxa"/>
            <w:tcBorders>
              <w:top w:val="nil"/>
              <w:left w:val="nil"/>
              <w:bottom w:val="nil"/>
              <w:right w:val="nil"/>
            </w:tcBorders>
            <w:shd w:val="clear" w:color="auto" w:fill="auto"/>
            <w:noWrap/>
            <w:vAlign w:val="bottom"/>
            <w:hideMark/>
          </w:tcPr>
          <w:p w14:paraId="1F607663" w14:textId="77777777" w:rsidR="003E7A03" w:rsidRPr="003E7A03" w:rsidRDefault="003E7A03" w:rsidP="003E7A03">
            <w:pPr>
              <w:jc w:val="right"/>
              <w:rPr>
                <w:rFonts w:ascii="Times New Roman" w:eastAsia="Times New Roman" w:hAnsi="Times New Roman" w:cs="Times New Roman"/>
                <w:sz w:val="20"/>
                <w:szCs w:val="20"/>
                <w:lang w:eastAsia="nb-NO"/>
              </w:rPr>
            </w:pPr>
          </w:p>
        </w:tc>
      </w:tr>
      <w:tr w:rsidR="003E7A03" w:rsidRPr="003E7A03" w14:paraId="106947F0" w14:textId="77777777" w:rsidTr="003E7A03">
        <w:trPr>
          <w:trHeight w:val="288"/>
        </w:trPr>
        <w:tc>
          <w:tcPr>
            <w:tcW w:w="3109" w:type="dxa"/>
            <w:tcBorders>
              <w:top w:val="nil"/>
              <w:left w:val="nil"/>
              <w:bottom w:val="nil"/>
              <w:right w:val="nil"/>
            </w:tcBorders>
            <w:shd w:val="clear" w:color="auto" w:fill="auto"/>
            <w:noWrap/>
            <w:vAlign w:val="bottom"/>
            <w:hideMark/>
          </w:tcPr>
          <w:p w14:paraId="6F6BBEEB" w14:textId="70265866" w:rsidR="003E7A03" w:rsidRPr="003E7A03" w:rsidRDefault="003E7A03" w:rsidP="003E7A03">
            <w:pPr>
              <w:jc w:val="right"/>
              <w:rPr>
                <w:rFonts w:eastAsia="Times New Roman"/>
                <w:color w:val="000000"/>
                <w:sz w:val="20"/>
                <w:szCs w:val="20"/>
                <w:lang w:eastAsia="nb-NO"/>
              </w:rPr>
            </w:pPr>
            <w:r w:rsidRPr="003E7A03">
              <w:rPr>
                <w:rFonts w:eastAsia="Times New Roman"/>
                <w:color w:val="000000"/>
                <w:sz w:val="20"/>
                <w:szCs w:val="20"/>
                <w:lang w:eastAsia="nb-NO"/>
              </w:rPr>
              <w:t>Relasjon</w:t>
            </w:r>
            <w:r w:rsidR="00D31E46">
              <w:rPr>
                <w:rFonts w:eastAsia="Times New Roman"/>
                <w:color w:val="000000"/>
                <w:sz w:val="20"/>
                <w:szCs w:val="20"/>
                <w:lang w:eastAsia="nb-NO"/>
              </w:rPr>
              <w:t xml:space="preserve"> gebyrsatser</w:t>
            </w:r>
            <w:r w:rsidRPr="003E7A03">
              <w:rPr>
                <w:rFonts w:eastAsia="Times New Roman"/>
                <w:color w:val="000000"/>
                <w:sz w:val="20"/>
                <w:szCs w:val="20"/>
                <w:lang w:eastAsia="nb-NO"/>
              </w:rPr>
              <w:t>:</w:t>
            </w:r>
          </w:p>
        </w:tc>
        <w:tc>
          <w:tcPr>
            <w:tcW w:w="1208" w:type="dxa"/>
            <w:tcBorders>
              <w:top w:val="nil"/>
              <w:left w:val="nil"/>
              <w:bottom w:val="nil"/>
              <w:right w:val="nil"/>
            </w:tcBorders>
            <w:shd w:val="clear" w:color="auto" w:fill="auto"/>
            <w:noWrap/>
            <w:vAlign w:val="bottom"/>
            <w:hideMark/>
          </w:tcPr>
          <w:p w14:paraId="138824C6" w14:textId="77777777" w:rsidR="003E7A03" w:rsidRPr="003E7A03" w:rsidRDefault="003E7A03" w:rsidP="003E7A03">
            <w:pPr>
              <w:jc w:val="right"/>
              <w:rPr>
                <w:rFonts w:eastAsia="Times New Roman"/>
                <w:color w:val="000000"/>
                <w:sz w:val="20"/>
                <w:szCs w:val="20"/>
                <w:lang w:eastAsia="nb-NO"/>
              </w:rPr>
            </w:pPr>
            <w:r w:rsidRPr="003E7A03">
              <w:rPr>
                <w:rFonts w:eastAsia="Times New Roman"/>
                <w:color w:val="000000"/>
                <w:sz w:val="20"/>
                <w:szCs w:val="20"/>
                <w:lang w:eastAsia="nb-NO"/>
              </w:rPr>
              <w:t>100 %</w:t>
            </w:r>
          </w:p>
        </w:tc>
        <w:tc>
          <w:tcPr>
            <w:tcW w:w="1208" w:type="dxa"/>
            <w:tcBorders>
              <w:top w:val="nil"/>
              <w:left w:val="nil"/>
              <w:bottom w:val="nil"/>
              <w:right w:val="nil"/>
            </w:tcBorders>
            <w:shd w:val="clear" w:color="auto" w:fill="auto"/>
            <w:noWrap/>
            <w:vAlign w:val="bottom"/>
            <w:hideMark/>
          </w:tcPr>
          <w:p w14:paraId="68F78CE1" w14:textId="77777777" w:rsidR="003E7A03" w:rsidRPr="003E7A03" w:rsidRDefault="003E7A03" w:rsidP="003E7A03">
            <w:pPr>
              <w:jc w:val="right"/>
              <w:rPr>
                <w:rFonts w:eastAsia="Times New Roman"/>
                <w:color w:val="000000"/>
                <w:sz w:val="20"/>
                <w:szCs w:val="20"/>
                <w:lang w:eastAsia="nb-NO"/>
              </w:rPr>
            </w:pPr>
            <w:r w:rsidRPr="003E7A03">
              <w:rPr>
                <w:rFonts w:eastAsia="Times New Roman"/>
                <w:color w:val="000000"/>
                <w:sz w:val="20"/>
                <w:szCs w:val="20"/>
                <w:lang w:eastAsia="nb-NO"/>
              </w:rPr>
              <w:t>73 %</w:t>
            </w:r>
          </w:p>
        </w:tc>
        <w:tc>
          <w:tcPr>
            <w:tcW w:w="1373" w:type="dxa"/>
            <w:tcBorders>
              <w:top w:val="nil"/>
              <w:left w:val="nil"/>
              <w:bottom w:val="nil"/>
              <w:right w:val="nil"/>
            </w:tcBorders>
            <w:shd w:val="clear" w:color="auto" w:fill="auto"/>
            <w:noWrap/>
            <w:vAlign w:val="bottom"/>
            <w:hideMark/>
          </w:tcPr>
          <w:p w14:paraId="7BE4827B" w14:textId="77777777" w:rsidR="003E7A03" w:rsidRPr="003E7A03" w:rsidRDefault="003E7A03" w:rsidP="003E7A03">
            <w:pPr>
              <w:jc w:val="right"/>
              <w:rPr>
                <w:rFonts w:eastAsia="Times New Roman"/>
                <w:color w:val="000000"/>
                <w:sz w:val="20"/>
                <w:szCs w:val="20"/>
                <w:lang w:eastAsia="nb-NO"/>
              </w:rPr>
            </w:pPr>
            <w:r w:rsidRPr="003E7A03">
              <w:rPr>
                <w:rFonts w:eastAsia="Times New Roman"/>
                <w:color w:val="000000"/>
                <w:sz w:val="20"/>
                <w:szCs w:val="20"/>
                <w:lang w:eastAsia="nb-NO"/>
              </w:rPr>
              <w:t>74 %</w:t>
            </w:r>
          </w:p>
        </w:tc>
        <w:tc>
          <w:tcPr>
            <w:tcW w:w="1254" w:type="dxa"/>
            <w:tcBorders>
              <w:top w:val="nil"/>
              <w:left w:val="nil"/>
              <w:bottom w:val="nil"/>
              <w:right w:val="nil"/>
            </w:tcBorders>
            <w:shd w:val="clear" w:color="auto" w:fill="auto"/>
            <w:noWrap/>
            <w:vAlign w:val="bottom"/>
            <w:hideMark/>
          </w:tcPr>
          <w:p w14:paraId="086E945C" w14:textId="77777777" w:rsidR="003E7A03" w:rsidRPr="003E7A03" w:rsidRDefault="003E7A03" w:rsidP="003E7A03">
            <w:pPr>
              <w:jc w:val="right"/>
              <w:rPr>
                <w:rFonts w:eastAsia="Times New Roman"/>
                <w:color w:val="000000"/>
                <w:sz w:val="20"/>
                <w:szCs w:val="20"/>
                <w:lang w:eastAsia="nb-NO"/>
              </w:rPr>
            </w:pPr>
            <w:r w:rsidRPr="003E7A03">
              <w:rPr>
                <w:rFonts w:eastAsia="Times New Roman"/>
                <w:color w:val="000000"/>
                <w:sz w:val="20"/>
                <w:szCs w:val="20"/>
                <w:lang w:eastAsia="nb-NO"/>
              </w:rPr>
              <w:t>83 %</w:t>
            </w:r>
          </w:p>
        </w:tc>
        <w:tc>
          <w:tcPr>
            <w:tcW w:w="1254" w:type="dxa"/>
            <w:tcBorders>
              <w:top w:val="nil"/>
              <w:left w:val="nil"/>
              <w:bottom w:val="nil"/>
              <w:right w:val="nil"/>
            </w:tcBorders>
            <w:shd w:val="clear" w:color="auto" w:fill="auto"/>
            <w:noWrap/>
            <w:vAlign w:val="bottom"/>
            <w:hideMark/>
          </w:tcPr>
          <w:p w14:paraId="153E41A6" w14:textId="41C702DB" w:rsidR="003E7A03" w:rsidRPr="003E7A03" w:rsidRDefault="003E7A03" w:rsidP="003E7A03">
            <w:pPr>
              <w:keepNext/>
              <w:jc w:val="right"/>
              <w:rPr>
                <w:rFonts w:eastAsia="Times New Roman"/>
                <w:color w:val="000000"/>
                <w:sz w:val="20"/>
                <w:szCs w:val="20"/>
                <w:lang w:eastAsia="nb-NO"/>
              </w:rPr>
            </w:pPr>
            <w:r w:rsidRPr="00441260">
              <w:rPr>
                <w:rFonts w:eastAsia="Times New Roman"/>
                <w:color w:val="000000"/>
                <w:sz w:val="20"/>
                <w:szCs w:val="20"/>
                <w:lang w:eastAsia="nb-NO"/>
              </w:rPr>
              <w:t xml:space="preserve">61 </w:t>
            </w:r>
            <w:r w:rsidR="006F2584">
              <w:rPr>
                <w:rFonts w:eastAsia="Times New Roman"/>
                <w:color w:val="000000"/>
                <w:sz w:val="20"/>
                <w:szCs w:val="20"/>
                <w:shd w:val="clear" w:color="auto" w:fill="FFFFFF" w:themeFill="background1"/>
                <w:lang w:eastAsia="nb-NO"/>
              </w:rPr>
              <w:t>%</w:t>
            </w:r>
          </w:p>
        </w:tc>
      </w:tr>
    </w:tbl>
    <w:p w14:paraId="3887210F" w14:textId="063BD1EC" w:rsidR="004F52D6" w:rsidRDefault="003E7A03" w:rsidP="003E7A03">
      <w:pPr>
        <w:pStyle w:val="Bildetekst"/>
      </w:pPr>
      <w:r>
        <w:t xml:space="preserve">Figur </w:t>
      </w:r>
      <w:r>
        <w:fldChar w:fldCharType="begin"/>
      </w:r>
      <w:r>
        <w:instrText>SEQ Figur \* ARABIC</w:instrText>
      </w:r>
      <w:r>
        <w:fldChar w:fldCharType="separate"/>
      </w:r>
      <w:r w:rsidR="00FD614C">
        <w:rPr>
          <w:noProof/>
        </w:rPr>
        <w:t>4</w:t>
      </w:r>
      <w:r>
        <w:fldChar w:fldCharType="end"/>
      </w:r>
    </w:p>
    <w:p w14:paraId="1AC7979E" w14:textId="38F488CD" w:rsidR="007273A3" w:rsidRDefault="003437A0" w:rsidP="00873027">
      <w:r>
        <w:t>Figur</w:t>
      </w:r>
      <w:r w:rsidR="00E73683">
        <w:t xml:space="preserve"> 4</w:t>
      </w:r>
      <w:r>
        <w:t xml:space="preserve"> viser at vi ligger omtrent</w:t>
      </w:r>
      <w:r w:rsidR="002F14B0">
        <w:t xml:space="preserve"> 15</w:t>
      </w:r>
      <w:r w:rsidR="00F70BA4">
        <w:t xml:space="preserve"> prosent</w:t>
      </w:r>
      <w:r w:rsidR="002F14B0">
        <w:t xml:space="preserve"> lavere enn Stavanger, </w:t>
      </w:r>
      <w:r w:rsidR="008D489E">
        <w:t>K</w:t>
      </w:r>
      <w:r w:rsidR="002F14B0">
        <w:t>ristiansand og Dra</w:t>
      </w:r>
      <w:r w:rsidR="008D489E">
        <w:t>mmen.</w:t>
      </w:r>
      <w:r w:rsidR="00E73683">
        <w:t xml:space="preserve"> </w:t>
      </w:r>
    </w:p>
    <w:p w14:paraId="5FB861F2" w14:textId="77777777" w:rsidR="008C0527" w:rsidRDefault="008C0527" w:rsidP="00873027"/>
    <w:p w14:paraId="287BF841" w14:textId="253E6659" w:rsidR="00745F7E" w:rsidRDefault="007B077D" w:rsidP="00873027">
      <w:proofErr w:type="spellStart"/>
      <w:r>
        <w:t>Inntekstk</w:t>
      </w:r>
      <w:r w:rsidR="00BD2CB0">
        <w:t>ravet</w:t>
      </w:r>
      <w:proofErr w:type="spellEnd"/>
      <w:r w:rsidR="00BD2CB0">
        <w:t xml:space="preserve"> for </w:t>
      </w:r>
      <w:r w:rsidR="004F55AC">
        <w:t xml:space="preserve">å gå i balanse i </w:t>
      </w:r>
      <w:r w:rsidR="00BD2CB0">
        <w:t>2020</w:t>
      </w:r>
      <w:r w:rsidR="004F55AC">
        <w:t>,</w:t>
      </w:r>
      <w:r w:rsidR="00BD2CB0">
        <w:t xml:space="preserve"> er </w:t>
      </w:r>
      <w:r w:rsidR="004F55AC">
        <w:t xml:space="preserve">kr </w:t>
      </w:r>
      <w:r w:rsidR="00BD2CB0">
        <w:t>5,</w:t>
      </w:r>
      <w:r w:rsidR="00F14FC9">
        <w:t>9</w:t>
      </w:r>
      <w:r w:rsidR="009233D0">
        <w:t>5</w:t>
      </w:r>
      <w:r w:rsidR="00BD2CB0">
        <w:t xml:space="preserve"> mill</w:t>
      </w:r>
      <w:r w:rsidR="008D0594">
        <w:t>ioner</w:t>
      </w:r>
      <w:r w:rsidR="00E14EF5">
        <w:t xml:space="preserve">. </w:t>
      </w:r>
      <w:r w:rsidR="009F2952">
        <w:t xml:space="preserve">En </w:t>
      </w:r>
      <w:r w:rsidR="005D3F48">
        <w:t xml:space="preserve">naturlig </w:t>
      </w:r>
      <w:r w:rsidR="00F12A2F">
        <w:t>juster</w:t>
      </w:r>
      <w:r w:rsidR="009F2952">
        <w:t>ing av</w:t>
      </w:r>
      <w:r w:rsidR="00F12A2F">
        <w:t xml:space="preserve"> gebyrsatsene</w:t>
      </w:r>
      <w:r w:rsidR="00E01CCD">
        <w:t>, er å legge sats</w:t>
      </w:r>
      <w:r w:rsidR="00916CAC">
        <w:t>e</w:t>
      </w:r>
      <w:r w:rsidR="00E01CCD">
        <w:t xml:space="preserve">ne på et nivå som </w:t>
      </w:r>
      <w:r w:rsidR="00916CAC">
        <w:t>dekker in</w:t>
      </w:r>
      <w:r w:rsidR="00E711A7">
        <w:t xml:space="preserve">n </w:t>
      </w:r>
      <w:r w:rsidR="00C13CBC">
        <w:t>drift</w:t>
      </w:r>
      <w:r w:rsidR="001F61C1">
        <w:t>s</w:t>
      </w:r>
      <w:r w:rsidR="00C13CBC">
        <w:t>utgiftene</w:t>
      </w:r>
      <w:r w:rsidR="00643FF8">
        <w:t xml:space="preserve">. </w:t>
      </w:r>
      <w:r w:rsidR="00036F79">
        <w:t>Dette vil også samsvare med nasjonale føringer</w:t>
      </w:r>
      <w:r w:rsidR="00E95142">
        <w:t xml:space="preserve"> som vektlegger</w:t>
      </w:r>
      <w:r w:rsidR="00C83E47">
        <w:t xml:space="preserve"> </w:t>
      </w:r>
      <w:r w:rsidR="00DD6EF5">
        <w:t xml:space="preserve">at </w:t>
      </w:r>
      <w:r w:rsidR="00CF3370">
        <w:t>gebyr</w:t>
      </w:r>
      <w:r w:rsidR="006A2544">
        <w:t>et i en sak skal dekke</w:t>
      </w:r>
      <w:r w:rsidR="00426D56">
        <w:t xml:space="preserve"> driftsutgiften kommunen har. </w:t>
      </w:r>
      <w:r w:rsidR="00745F7E">
        <w:t xml:space="preserve">Kostnadene for å utføre arbeid etter matrikkelloven vil da i enhver sak harmonere med utgiftene vi har. </w:t>
      </w:r>
    </w:p>
    <w:p w14:paraId="6877F8CF" w14:textId="2FAA3555" w:rsidR="00B240E5" w:rsidRDefault="000A465F" w:rsidP="00873027">
      <w:r>
        <w:t>Vi</w:t>
      </w:r>
      <w:r w:rsidR="00643FF8">
        <w:t xml:space="preserve"> forutsetter</w:t>
      </w:r>
      <w:r w:rsidR="00642E58">
        <w:t xml:space="preserve"> at sak</w:t>
      </w:r>
      <w:r w:rsidR="008C2DC7">
        <w:t xml:space="preserve">smengden </w:t>
      </w:r>
      <w:r w:rsidR="00A64520">
        <w:t xml:space="preserve">blir på samme nivå som </w:t>
      </w:r>
      <w:r w:rsidR="00B31719">
        <w:t>de tre forrige årene</w:t>
      </w:r>
      <w:r w:rsidR="00DB4853">
        <w:t xml:space="preserve">. </w:t>
      </w:r>
      <w:r w:rsidR="00F2721A">
        <w:t>Uten e</w:t>
      </w:r>
      <w:r w:rsidR="00803D92">
        <w:t>nd</w:t>
      </w:r>
      <w:r w:rsidR="00F2721A">
        <w:t>ring i gebyrsatsen</w:t>
      </w:r>
      <w:r w:rsidR="00BF36B6">
        <w:t>e</w:t>
      </w:r>
      <w:r w:rsidR="00803D92">
        <w:t>, vil estimert inntekt bli</w:t>
      </w:r>
      <w:r w:rsidR="00BF36B6">
        <w:t xml:space="preserve"> </w:t>
      </w:r>
      <w:r w:rsidR="00D72769">
        <w:t>om lag</w:t>
      </w:r>
      <w:r w:rsidR="00BF36B6">
        <w:t xml:space="preserve"> kr</w:t>
      </w:r>
      <w:r w:rsidR="00D72769">
        <w:t xml:space="preserve"> </w:t>
      </w:r>
      <w:r w:rsidR="00BF36B6">
        <w:t>5,3 mill</w:t>
      </w:r>
      <w:r w:rsidR="00D72769">
        <w:t>ioner</w:t>
      </w:r>
      <w:r w:rsidR="00BF36B6">
        <w:t xml:space="preserve"> i 2020. </w:t>
      </w:r>
      <w:r w:rsidR="002C74A4">
        <w:t>For å dekke gapet mellom inntek</w:t>
      </w:r>
      <w:r w:rsidR="003A0191">
        <w:t>ts</w:t>
      </w:r>
      <w:r w:rsidR="002C74A4">
        <w:t>krav og estimert inntekt uten gebyr</w:t>
      </w:r>
      <w:r w:rsidR="003A0191">
        <w:t xml:space="preserve">justering, må </w:t>
      </w:r>
      <w:r w:rsidR="00394017">
        <w:t>inntekten</w:t>
      </w:r>
      <w:r w:rsidR="009F4730">
        <w:t xml:space="preserve"> økes med kr 0,6</w:t>
      </w:r>
      <w:r w:rsidR="009233D0">
        <w:t>5</w:t>
      </w:r>
      <w:r w:rsidR="009F4730">
        <w:t xml:space="preserve"> mill</w:t>
      </w:r>
      <w:r w:rsidR="00E7419F">
        <w:t>ioner</w:t>
      </w:r>
      <w:r w:rsidR="009816CF">
        <w:t xml:space="preserve"> på årsbasis</w:t>
      </w:r>
      <w:r w:rsidR="009F4730">
        <w:t>.</w:t>
      </w:r>
    </w:p>
    <w:p w14:paraId="30009E22" w14:textId="6FF3A1CF" w:rsidR="002D2329" w:rsidRDefault="002D646C" w:rsidP="00873027">
      <w:r>
        <w:t xml:space="preserve">Ved å justere gebyrsatsene </w:t>
      </w:r>
      <w:r w:rsidR="003C09C4" w:rsidRPr="009566FA">
        <w:t>15</w:t>
      </w:r>
      <w:r w:rsidR="00E7419F" w:rsidRPr="009566FA">
        <w:t xml:space="preserve"> prosent</w:t>
      </w:r>
      <w:r w:rsidR="002A07DF">
        <w:t xml:space="preserve"> vil </w:t>
      </w:r>
      <w:r w:rsidR="000625C2">
        <w:t xml:space="preserve">estimert inntekt </w:t>
      </w:r>
      <w:r w:rsidR="006C6ED2">
        <w:t>på årsbasis bli</w:t>
      </w:r>
      <w:r w:rsidR="00A86B6E">
        <w:t xml:space="preserve"> </w:t>
      </w:r>
      <w:r w:rsidR="00516F75">
        <w:t xml:space="preserve">kr </w:t>
      </w:r>
      <w:r w:rsidR="00A87C40">
        <w:t xml:space="preserve">6,1 </w:t>
      </w:r>
      <w:r w:rsidR="00516F75">
        <w:t>mill</w:t>
      </w:r>
      <w:r w:rsidR="00E7419F">
        <w:t>ioner</w:t>
      </w:r>
      <w:r w:rsidR="00AE0D2F">
        <w:t>.</w:t>
      </w:r>
      <w:r w:rsidR="00516F75">
        <w:t xml:space="preserve"> </w:t>
      </w:r>
      <w:r w:rsidR="00CC7FEF">
        <w:t>Justeres g</w:t>
      </w:r>
      <w:r w:rsidR="00967E8C">
        <w:t>e</w:t>
      </w:r>
      <w:r w:rsidR="00CC7FEF">
        <w:t>byrene</w:t>
      </w:r>
      <w:r w:rsidR="00967E8C">
        <w:t xml:space="preserve"> nå, vil vi bare få en halvårlig effekt for</w:t>
      </w:r>
      <w:r w:rsidR="008C68C1">
        <w:t xml:space="preserve"> 2020. Estimert inntekt for 2020</w:t>
      </w:r>
      <w:r w:rsidR="008244BA">
        <w:t xml:space="preserve"> vil da bli kr </w:t>
      </w:r>
      <w:r w:rsidR="00853B16">
        <w:t>5,</w:t>
      </w:r>
      <w:r w:rsidR="003C79C5">
        <w:t>7</w:t>
      </w:r>
      <w:r w:rsidR="00853B16">
        <w:t xml:space="preserve"> mill</w:t>
      </w:r>
      <w:r w:rsidR="00AE0D2F">
        <w:t xml:space="preserve">ioner. </w:t>
      </w:r>
      <w:r w:rsidR="00E73683">
        <w:t>Dersom vi justerer</w:t>
      </w:r>
      <w:r w:rsidR="00EE1CDF">
        <w:t xml:space="preserve"> prisene opp </w:t>
      </w:r>
      <w:r w:rsidR="00EE1CDF" w:rsidRPr="009566FA">
        <w:t>1</w:t>
      </w:r>
      <w:r w:rsidR="00437ED9" w:rsidRPr="009566FA">
        <w:t>5</w:t>
      </w:r>
      <w:r w:rsidR="00F70BA4" w:rsidRPr="009566FA">
        <w:t xml:space="preserve"> prosent</w:t>
      </w:r>
      <w:r w:rsidR="00044DB1">
        <w:t>, vil dette</w:t>
      </w:r>
      <w:r w:rsidR="003514FF">
        <w:t xml:space="preserve"> se slik ut (figur 5).</w:t>
      </w:r>
    </w:p>
    <w:p w14:paraId="46536AC6" w14:textId="0934151C" w:rsidR="003514FF" w:rsidRDefault="003514FF" w:rsidP="00873027"/>
    <w:tbl>
      <w:tblPr>
        <w:tblW w:w="9406" w:type="dxa"/>
        <w:tblCellMar>
          <w:left w:w="70" w:type="dxa"/>
          <w:right w:w="70" w:type="dxa"/>
        </w:tblCellMar>
        <w:tblLook w:val="04A0" w:firstRow="1" w:lastRow="0" w:firstColumn="1" w:lastColumn="0" w:noHBand="0" w:noVBand="1"/>
      </w:tblPr>
      <w:tblGrid>
        <w:gridCol w:w="3109"/>
        <w:gridCol w:w="1208"/>
        <w:gridCol w:w="1208"/>
        <w:gridCol w:w="1373"/>
        <w:gridCol w:w="1254"/>
        <w:gridCol w:w="1254"/>
      </w:tblGrid>
      <w:tr w:rsidR="00F44CF0" w:rsidRPr="00F44CF0" w14:paraId="156E1261" w14:textId="77777777" w:rsidTr="3E38A92A">
        <w:trPr>
          <w:trHeight w:val="288"/>
        </w:trPr>
        <w:tc>
          <w:tcPr>
            <w:tcW w:w="5525" w:type="dxa"/>
            <w:gridSpan w:val="3"/>
            <w:tcBorders>
              <w:top w:val="nil"/>
              <w:left w:val="nil"/>
              <w:bottom w:val="nil"/>
              <w:right w:val="nil"/>
            </w:tcBorders>
            <w:shd w:val="clear" w:color="auto" w:fill="auto"/>
            <w:noWrap/>
            <w:vAlign w:val="bottom"/>
            <w:hideMark/>
          </w:tcPr>
          <w:p w14:paraId="3C7F199A" w14:textId="283C810E" w:rsidR="008B1D10" w:rsidRPr="00F44CF0" w:rsidRDefault="00F44CF0" w:rsidP="00441260">
            <w:pPr>
              <w:ind w:left="708" w:hanging="708"/>
              <w:rPr>
                <w:rFonts w:eastAsia="Times New Roman"/>
                <w:b/>
                <w:bCs/>
                <w:color w:val="000000"/>
                <w:sz w:val="20"/>
                <w:szCs w:val="20"/>
                <w:lang w:eastAsia="nb-NO"/>
              </w:rPr>
            </w:pPr>
            <w:r w:rsidRPr="3E38A92A">
              <w:rPr>
                <w:rFonts w:eastAsia="Times New Roman"/>
                <w:b/>
                <w:bCs/>
                <w:color w:val="000000" w:themeColor="text1"/>
                <w:sz w:val="20"/>
                <w:szCs w:val="20"/>
                <w:lang w:eastAsia="nb-NO"/>
              </w:rPr>
              <w:t xml:space="preserve">GEBYRER 2020 </w:t>
            </w:r>
            <w:r w:rsidR="00D31E46" w:rsidRPr="3E38A92A">
              <w:rPr>
                <w:rFonts w:eastAsia="Times New Roman"/>
                <w:b/>
                <w:bCs/>
                <w:color w:val="000000" w:themeColor="text1"/>
                <w:sz w:val="20"/>
                <w:szCs w:val="20"/>
                <w:lang w:eastAsia="nb-NO"/>
              </w:rPr>
              <w:t xml:space="preserve">SAMMENLIGNET MED </w:t>
            </w:r>
            <w:r w:rsidRPr="3E38A92A">
              <w:rPr>
                <w:rFonts w:eastAsia="Times New Roman"/>
                <w:b/>
                <w:bCs/>
                <w:color w:val="000000" w:themeColor="text1"/>
                <w:sz w:val="20"/>
                <w:szCs w:val="20"/>
                <w:lang w:eastAsia="nb-NO"/>
              </w:rPr>
              <w:t>ANDRE KOMMUNER - identiske saker</w:t>
            </w:r>
            <w:r w:rsidR="00D31E46" w:rsidRPr="3E38A92A">
              <w:rPr>
                <w:rFonts w:eastAsia="Times New Roman"/>
                <w:b/>
                <w:bCs/>
                <w:color w:val="000000" w:themeColor="text1"/>
                <w:sz w:val="20"/>
                <w:szCs w:val="20"/>
                <w:lang w:eastAsia="nb-NO"/>
              </w:rPr>
              <w:t xml:space="preserve"> og</w:t>
            </w:r>
            <w:r w:rsidRPr="3E38A92A">
              <w:rPr>
                <w:rFonts w:eastAsia="Times New Roman"/>
                <w:b/>
                <w:bCs/>
                <w:color w:val="000000" w:themeColor="text1"/>
                <w:sz w:val="20"/>
                <w:szCs w:val="20"/>
                <w:lang w:eastAsia="nb-NO"/>
              </w:rPr>
              <w:t xml:space="preserve"> </w:t>
            </w:r>
            <w:r w:rsidR="00D31E46" w:rsidRPr="3E38A92A">
              <w:rPr>
                <w:rFonts w:eastAsia="Times New Roman"/>
                <w:b/>
                <w:bCs/>
                <w:color w:val="000000" w:themeColor="text1"/>
                <w:sz w:val="20"/>
                <w:szCs w:val="20"/>
                <w:lang w:eastAsia="nb-NO"/>
              </w:rPr>
              <w:t>s</w:t>
            </w:r>
            <w:r w:rsidRPr="3E38A92A">
              <w:rPr>
                <w:rFonts w:eastAsia="Times New Roman"/>
                <w:b/>
                <w:bCs/>
                <w:color w:val="000000" w:themeColor="text1"/>
                <w:sz w:val="20"/>
                <w:szCs w:val="20"/>
                <w:lang w:eastAsia="nb-NO"/>
              </w:rPr>
              <w:t xml:space="preserve">imulert </w:t>
            </w:r>
            <w:proofErr w:type="spellStart"/>
            <w:r w:rsidR="00D31E46" w:rsidRPr="3E38A92A">
              <w:rPr>
                <w:rFonts w:eastAsia="Times New Roman"/>
                <w:b/>
                <w:bCs/>
                <w:color w:val="000000" w:themeColor="text1"/>
                <w:sz w:val="20"/>
                <w:szCs w:val="20"/>
                <w:lang w:eastAsia="nb-NO"/>
              </w:rPr>
              <w:t>gebyr</w:t>
            </w:r>
            <w:r w:rsidRPr="3E38A92A">
              <w:rPr>
                <w:rFonts w:eastAsia="Times New Roman"/>
                <w:b/>
                <w:bCs/>
                <w:color w:val="000000" w:themeColor="text1"/>
                <w:sz w:val="20"/>
                <w:szCs w:val="20"/>
                <w:lang w:eastAsia="nb-NO"/>
              </w:rPr>
              <w:t>økning</w:t>
            </w:r>
            <w:proofErr w:type="spellEnd"/>
            <w:r w:rsidRPr="3E38A92A">
              <w:rPr>
                <w:rFonts w:eastAsia="Times New Roman"/>
                <w:b/>
                <w:bCs/>
                <w:color w:val="000000" w:themeColor="text1"/>
                <w:sz w:val="20"/>
                <w:szCs w:val="20"/>
                <w:lang w:eastAsia="nb-NO"/>
              </w:rPr>
              <w:t xml:space="preserve"> på 1</w:t>
            </w:r>
            <w:r w:rsidR="00437ED9" w:rsidRPr="3E38A92A">
              <w:rPr>
                <w:rFonts w:eastAsia="Times New Roman"/>
                <w:b/>
                <w:bCs/>
                <w:color w:val="000000" w:themeColor="text1"/>
                <w:sz w:val="20"/>
                <w:szCs w:val="20"/>
                <w:lang w:eastAsia="nb-NO"/>
              </w:rPr>
              <w:t>5</w:t>
            </w:r>
            <w:r w:rsidRPr="3E38A92A">
              <w:rPr>
                <w:rFonts w:eastAsia="Times New Roman"/>
                <w:b/>
                <w:bCs/>
                <w:color w:val="000000" w:themeColor="text1"/>
                <w:sz w:val="20"/>
                <w:szCs w:val="20"/>
                <w:lang w:eastAsia="nb-NO"/>
              </w:rPr>
              <w:t>% for Sandnes:</w:t>
            </w:r>
            <w:r w:rsidR="008B1D10" w:rsidRPr="3E38A92A">
              <w:rPr>
                <w:rFonts w:eastAsia="Times New Roman"/>
                <w:b/>
                <w:bCs/>
                <w:color w:val="000000" w:themeColor="text1"/>
                <w:sz w:val="20"/>
                <w:szCs w:val="20"/>
                <w:lang w:eastAsia="nb-NO"/>
              </w:rPr>
              <w:t xml:space="preserve"> </w:t>
            </w:r>
          </w:p>
        </w:tc>
        <w:tc>
          <w:tcPr>
            <w:tcW w:w="1373" w:type="dxa"/>
            <w:tcBorders>
              <w:top w:val="nil"/>
              <w:left w:val="nil"/>
              <w:bottom w:val="nil"/>
              <w:right w:val="nil"/>
            </w:tcBorders>
            <w:shd w:val="clear" w:color="auto" w:fill="auto"/>
            <w:noWrap/>
            <w:vAlign w:val="bottom"/>
            <w:hideMark/>
          </w:tcPr>
          <w:p w14:paraId="73060EEC" w14:textId="77777777" w:rsidR="00F44CF0" w:rsidRPr="00F44CF0" w:rsidRDefault="00F44CF0" w:rsidP="00F44CF0">
            <w:pPr>
              <w:rPr>
                <w:rFonts w:eastAsia="Times New Roman"/>
                <w:color w:val="000000"/>
                <w:sz w:val="20"/>
                <w:szCs w:val="20"/>
                <w:lang w:eastAsia="nb-NO"/>
              </w:rPr>
            </w:pPr>
          </w:p>
        </w:tc>
        <w:tc>
          <w:tcPr>
            <w:tcW w:w="1254" w:type="dxa"/>
            <w:tcBorders>
              <w:top w:val="nil"/>
              <w:left w:val="nil"/>
              <w:bottom w:val="nil"/>
              <w:right w:val="nil"/>
            </w:tcBorders>
            <w:shd w:val="clear" w:color="auto" w:fill="auto"/>
            <w:noWrap/>
            <w:vAlign w:val="bottom"/>
            <w:hideMark/>
          </w:tcPr>
          <w:p w14:paraId="4A7755BE" w14:textId="77777777" w:rsidR="00F44CF0" w:rsidRPr="00F44CF0" w:rsidRDefault="00F44CF0" w:rsidP="00F44CF0">
            <w:pPr>
              <w:rPr>
                <w:rFonts w:ascii="Times New Roman" w:eastAsia="Times New Roman" w:hAnsi="Times New Roman" w:cs="Times New Roman"/>
                <w:sz w:val="20"/>
                <w:szCs w:val="20"/>
                <w:lang w:eastAsia="nb-NO"/>
              </w:rPr>
            </w:pPr>
          </w:p>
        </w:tc>
        <w:tc>
          <w:tcPr>
            <w:tcW w:w="1254" w:type="dxa"/>
            <w:tcBorders>
              <w:top w:val="nil"/>
              <w:left w:val="nil"/>
              <w:bottom w:val="nil"/>
              <w:right w:val="nil"/>
            </w:tcBorders>
            <w:shd w:val="clear" w:color="auto" w:fill="auto"/>
            <w:noWrap/>
            <w:vAlign w:val="bottom"/>
            <w:hideMark/>
          </w:tcPr>
          <w:p w14:paraId="5F2123FA" w14:textId="77777777" w:rsidR="00F44CF0" w:rsidRPr="00F44CF0" w:rsidRDefault="00F44CF0" w:rsidP="00F44CF0">
            <w:pPr>
              <w:rPr>
                <w:rFonts w:ascii="Times New Roman" w:eastAsia="Times New Roman" w:hAnsi="Times New Roman" w:cs="Times New Roman"/>
                <w:sz w:val="20"/>
                <w:szCs w:val="20"/>
                <w:lang w:eastAsia="nb-NO"/>
              </w:rPr>
            </w:pPr>
          </w:p>
        </w:tc>
      </w:tr>
      <w:tr w:rsidR="00F44CF0" w:rsidRPr="00F44CF0" w14:paraId="220689B5" w14:textId="77777777" w:rsidTr="3E38A92A">
        <w:trPr>
          <w:trHeight w:val="864"/>
        </w:trPr>
        <w:tc>
          <w:tcPr>
            <w:tcW w:w="3109" w:type="dxa"/>
            <w:tcBorders>
              <w:top w:val="nil"/>
              <w:left w:val="single" w:sz="4" w:space="0" w:color="FFFFFF" w:themeColor="background1"/>
              <w:bottom w:val="single" w:sz="12" w:space="0" w:color="FFFFFF" w:themeColor="background1"/>
              <w:right w:val="single" w:sz="4" w:space="0" w:color="FFFFFF" w:themeColor="background1"/>
            </w:tcBorders>
            <w:shd w:val="clear" w:color="auto" w:fill="4BACC6"/>
            <w:noWrap/>
            <w:hideMark/>
          </w:tcPr>
          <w:p w14:paraId="3AC3BD93" w14:textId="77777777" w:rsidR="00F44CF0" w:rsidRPr="00F44CF0" w:rsidRDefault="00F44CF0" w:rsidP="00F44CF0">
            <w:pPr>
              <w:rPr>
                <w:rFonts w:eastAsia="Times New Roman"/>
                <w:b/>
                <w:bCs/>
                <w:color w:val="FFFFFF"/>
                <w:sz w:val="20"/>
                <w:szCs w:val="20"/>
                <w:lang w:eastAsia="nb-NO"/>
              </w:rPr>
            </w:pPr>
            <w:r w:rsidRPr="00F44CF0">
              <w:rPr>
                <w:rFonts w:eastAsia="Times New Roman"/>
                <w:b/>
                <w:bCs/>
                <w:color w:val="FFFFFF"/>
                <w:sz w:val="20"/>
                <w:szCs w:val="20"/>
                <w:lang w:eastAsia="nb-NO"/>
              </w:rPr>
              <w:t>Type sak</w:t>
            </w:r>
          </w:p>
        </w:tc>
        <w:tc>
          <w:tcPr>
            <w:tcW w:w="1208" w:type="dxa"/>
            <w:tcBorders>
              <w:top w:val="nil"/>
              <w:left w:val="single" w:sz="4" w:space="0" w:color="FFFFFF" w:themeColor="background1"/>
              <w:bottom w:val="single" w:sz="12" w:space="0" w:color="FFFFFF" w:themeColor="background1"/>
              <w:right w:val="single" w:sz="4" w:space="0" w:color="FFFFFF" w:themeColor="background1"/>
            </w:tcBorders>
            <w:shd w:val="clear" w:color="auto" w:fill="4BACC6"/>
            <w:noWrap/>
            <w:hideMark/>
          </w:tcPr>
          <w:p w14:paraId="024C7BEF" w14:textId="77777777" w:rsidR="00F44CF0" w:rsidRPr="00F44CF0" w:rsidRDefault="00F44CF0" w:rsidP="00F44CF0">
            <w:pPr>
              <w:rPr>
                <w:rFonts w:eastAsia="Times New Roman"/>
                <w:b/>
                <w:bCs/>
                <w:color w:val="FFFFFF"/>
                <w:sz w:val="20"/>
                <w:szCs w:val="20"/>
                <w:lang w:eastAsia="nb-NO"/>
              </w:rPr>
            </w:pPr>
            <w:r w:rsidRPr="00F44CF0">
              <w:rPr>
                <w:rFonts w:eastAsia="Times New Roman"/>
                <w:b/>
                <w:bCs/>
                <w:color w:val="FFFFFF"/>
                <w:sz w:val="20"/>
                <w:szCs w:val="20"/>
                <w:lang w:eastAsia="nb-NO"/>
              </w:rPr>
              <w:t>Bergen</w:t>
            </w:r>
          </w:p>
        </w:tc>
        <w:tc>
          <w:tcPr>
            <w:tcW w:w="1208" w:type="dxa"/>
            <w:tcBorders>
              <w:top w:val="nil"/>
              <w:left w:val="single" w:sz="4" w:space="0" w:color="FFFFFF" w:themeColor="background1"/>
              <w:bottom w:val="single" w:sz="12" w:space="0" w:color="FFFFFF" w:themeColor="background1"/>
              <w:right w:val="single" w:sz="4" w:space="0" w:color="FFFFFF" w:themeColor="background1"/>
            </w:tcBorders>
            <w:shd w:val="clear" w:color="auto" w:fill="4BACC6"/>
            <w:noWrap/>
            <w:hideMark/>
          </w:tcPr>
          <w:p w14:paraId="4B3B36E5" w14:textId="77777777" w:rsidR="00F44CF0" w:rsidRPr="00F44CF0" w:rsidRDefault="00F44CF0" w:rsidP="00F44CF0">
            <w:pPr>
              <w:rPr>
                <w:rFonts w:eastAsia="Times New Roman"/>
                <w:b/>
                <w:bCs/>
                <w:color w:val="FFFFFF"/>
                <w:sz w:val="20"/>
                <w:szCs w:val="20"/>
                <w:lang w:eastAsia="nb-NO"/>
              </w:rPr>
            </w:pPr>
            <w:r w:rsidRPr="00F44CF0">
              <w:rPr>
                <w:rFonts w:eastAsia="Times New Roman"/>
                <w:b/>
                <w:bCs/>
                <w:color w:val="FFFFFF"/>
                <w:sz w:val="20"/>
                <w:szCs w:val="20"/>
                <w:lang w:eastAsia="nb-NO"/>
              </w:rPr>
              <w:t>Stavanger</w:t>
            </w:r>
          </w:p>
        </w:tc>
        <w:tc>
          <w:tcPr>
            <w:tcW w:w="1373" w:type="dxa"/>
            <w:tcBorders>
              <w:top w:val="nil"/>
              <w:left w:val="single" w:sz="4" w:space="0" w:color="FFFFFF" w:themeColor="background1"/>
              <w:bottom w:val="single" w:sz="12" w:space="0" w:color="FFFFFF" w:themeColor="background1"/>
              <w:right w:val="single" w:sz="4" w:space="0" w:color="FFFFFF" w:themeColor="background1"/>
            </w:tcBorders>
            <w:shd w:val="clear" w:color="auto" w:fill="4BACC6"/>
            <w:noWrap/>
            <w:hideMark/>
          </w:tcPr>
          <w:p w14:paraId="39B5DC71" w14:textId="77777777" w:rsidR="00F44CF0" w:rsidRPr="00F44CF0" w:rsidRDefault="00F44CF0" w:rsidP="00F44CF0">
            <w:pPr>
              <w:rPr>
                <w:rFonts w:eastAsia="Times New Roman"/>
                <w:b/>
                <w:bCs/>
                <w:color w:val="FFFFFF"/>
                <w:sz w:val="20"/>
                <w:szCs w:val="20"/>
                <w:lang w:eastAsia="nb-NO"/>
              </w:rPr>
            </w:pPr>
            <w:r w:rsidRPr="00F44CF0">
              <w:rPr>
                <w:rFonts w:eastAsia="Times New Roman"/>
                <w:b/>
                <w:bCs/>
                <w:color w:val="FFFFFF"/>
                <w:sz w:val="20"/>
                <w:szCs w:val="20"/>
                <w:lang w:eastAsia="nb-NO"/>
              </w:rPr>
              <w:t>Kristiansand</w:t>
            </w:r>
          </w:p>
        </w:tc>
        <w:tc>
          <w:tcPr>
            <w:tcW w:w="1254" w:type="dxa"/>
            <w:tcBorders>
              <w:top w:val="nil"/>
              <w:left w:val="single" w:sz="4" w:space="0" w:color="FFFFFF" w:themeColor="background1"/>
              <w:bottom w:val="single" w:sz="12" w:space="0" w:color="FFFFFF" w:themeColor="background1"/>
              <w:right w:val="single" w:sz="4" w:space="0" w:color="FFFFFF" w:themeColor="background1"/>
            </w:tcBorders>
            <w:shd w:val="clear" w:color="auto" w:fill="4BACC6"/>
            <w:noWrap/>
            <w:hideMark/>
          </w:tcPr>
          <w:p w14:paraId="10D69F17" w14:textId="77777777" w:rsidR="00F44CF0" w:rsidRPr="00F44CF0" w:rsidRDefault="00F44CF0" w:rsidP="00F44CF0">
            <w:pPr>
              <w:rPr>
                <w:rFonts w:eastAsia="Times New Roman"/>
                <w:b/>
                <w:bCs/>
                <w:color w:val="FFFFFF"/>
                <w:sz w:val="20"/>
                <w:szCs w:val="20"/>
                <w:lang w:eastAsia="nb-NO"/>
              </w:rPr>
            </w:pPr>
            <w:r w:rsidRPr="00F44CF0">
              <w:rPr>
                <w:rFonts w:eastAsia="Times New Roman"/>
                <w:b/>
                <w:bCs/>
                <w:color w:val="FFFFFF"/>
                <w:sz w:val="20"/>
                <w:szCs w:val="20"/>
                <w:lang w:eastAsia="nb-NO"/>
              </w:rPr>
              <w:t>Drammen</w:t>
            </w:r>
          </w:p>
        </w:tc>
        <w:tc>
          <w:tcPr>
            <w:tcW w:w="1254" w:type="dxa"/>
            <w:tcBorders>
              <w:top w:val="nil"/>
              <w:left w:val="single" w:sz="4" w:space="0" w:color="FFFFFF" w:themeColor="background1"/>
              <w:bottom w:val="single" w:sz="12" w:space="0" w:color="FFFFFF" w:themeColor="background1"/>
              <w:right w:val="nil"/>
            </w:tcBorders>
            <w:shd w:val="clear" w:color="auto" w:fill="76933C"/>
            <w:hideMark/>
          </w:tcPr>
          <w:p w14:paraId="14A1E623" w14:textId="77777777" w:rsidR="00F44CF0" w:rsidRPr="00F44CF0" w:rsidRDefault="00F44CF0" w:rsidP="00F44CF0">
            <w:pPr>
              <w:rPr>
                <w:rFonts w:eastAsia="Times New Roman"/>
                <w:b/>
                <w:bCs/>
                <w:color w:val="FFFFFF"/>
                <w:sz w:val="20"/>
                <w:szCs w:val="20"/>
                <w:lang w:eastAsia="nb-NO"/>
              </w:rPr>
            </w:pPr>
            <w:r w:rsidRPr="00F44CF0">
              <w:rPr>
                <w:rFonts w:eastAsia="Times New Roman"/>
                <w:b/>
                <w:bCs/>
                <w:color w:val="FFFFFF"/>
                <w:sz w:val="20"/>
                <w:szCs w:val="20"/>
                <w:lang w:eastAsia="nb-NO"/>
              </w:rPr>
              <w:t>Simulering Sandnes</w:t>
            </w:r>
          </w:p>
        </w:tc>
      </w:tr>
      <w:tr w:rsidR="000A2E37" w:rsidRPr="00F44CF0" w14:paraId="544E99A9" w14:textId="77777777" w:rsidTr="3E38A92A">
        <w:trPr>
          <w:trHeight w:val="288"/>
        </w:trPr>
        <w:tc>
          <w:tcPr>
            <w:tcW w:w="3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6FDDB90C"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arealoverføring</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2810E876"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30 210 </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2BB2CE4F"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17 300 </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05A18591"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22 000 </w:t>
            </w:r>
          </w:p>
        </w:tc>
        <w:tc>
          <w:tcPr>
            <w:tcW w:w="1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208DCF7D" w14:textId="77777777" w:rsidR="000A2E37" w:rsidRPr="00F44CF0" w:rsidRDefault="000A2E37" w:rsidP="000A2E37">
            <w:pPr>
              <w:jc w:val="right"/>
              <w:rPr>
                <w:rFonts w:eastAsia="Times New Roman"/>
                <w:color w:val="000000"/>
                <w:sz w:val="20"/>
                <w:szCs w:val="20"/>
                <w:lang w:eastAsia="nb-NO"/>
              </w:rPr>
            </w:pPr>
            <w:r w:rsidRPr="00F44CF0">
              <w:rPr>
                <w:rFonts w:eastAsia="Times New Roman"/>
                <w:color w:val="000000"/>
                <w:sz w:val="20"/>
                <w:szCs w:val="20"/>
                <w:lang w:eastAsia="nb-NO"/>
              </w:rPr>
              <w:t xml:space="preserve">           16 860 </w:t>
            </w:r>
          </w:p>
        </w:tc>
        <w:tc>
          <w:tcPr>
            <w:tcW w:w="1254" w:type="dxa"/>
            <w:tcBorders>
              <w:top w:val="single" w:sz="4" w:space="0" w:color="FFFFFF" w:themeColor="background1"/>
              <w:left w:val="single" w:sz="4" w:space="0" w:color="FFFFFF" w:themeColor="background1"/>
              <w:bottom w:val="single" w:sz="4" w:space="0" w:color="FFFFFF" w:themeColor="background1"/>
              <w:right w:val="nil"/>
            </w:tcBorders>
            <w:shd w:val="clear" w:color="auto" w:fill="B7DEE8"/>
            <w:noWrap/>
            <w:hideMark/>
          </w:tcPr>
          <w:p w14:paraId="7B5DB0A5" w14:textId="39FE9AEC" w:rsidR="000A2E37" w:rsidRPr="00737971" w:rsidRDefault="000A2E37" w:rsidP="000A2E37">
            <w:pPr>
              <w:jc w:val="right"/>
              <w:rPr>
                <w:rFonts w:eastAsia="Times New Roman"/>
                <w:color w:val="000000"/>
                <w:sz w:val="20"/>
                <w:szCs w:val="20"/>
                <w:lang w:eastAsia="nb-NO"/>
              </w:rPr>
            </w:pPr>
            <w:r w:rsidRPr="00732070">
              <w:t xml:space="preserve"> 20 010 </w:t>
            </w:r>
          </w:p>
        </w:tc>
      </w:tr>
      <w:tr w:rsidR="000A2E37" w:rsidRPr="00F44CF0" w14:paraId="1FC9285F" w14:textId="77777777" w:rsidTr="3E38A92A">
        <w:trPr>
          <w:trHeight w:val="288"/>
        </w:trPr>
        <w:tc>
          <w:tcPr>
            <w:tcW w:w="3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6669BBA3"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festegrunn</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015054DB"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37 460 </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01D3F39C"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26 700 </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3B3554EE"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26 800 </w:t>
            </w:r>
          </w:p>
        </w:tc>
        <w:tc>
          <w:tcPr>
            <w:tcW w:w="1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080808B7" w14:textId="77777777" w:rsidR="000A2E37" w:rsidRPr="00F44CF0" w:rsidRDefault="000A2E37" w:rsidP="000A2E37">
            <w:pPr>
              <w:jc w:val="right"/>
              <w:rPr>
                <w:rFonts w:eastAsia="Times New Roman"/>
                <w:color w:val="000000"/>
                <w:sz w:val="20"/>
                <w:szCs w:val="20"/>
                <w:lang w:eastAsia="nb-NO"/>
              </w:rPr>
            </w:pPr>
            <w:r w:rsidRPr="00F44CF0">
              <w:rPr>
                <w:rFonts w:eastAsia="Times New Roman"/>
                <w:color w:val="000000"/>
                <w:sz w:val="20"/>
                <w:szCs w:val="20"/>
                <w:lang w:eastAsia="nb-NO"/>
              </w:rPr>
              <w:t xml:space="preserve">           28 660 </w:t>
            </w:r>
          </w:p>
        </w:tc>
        <w:tc>
          <w:tcPr>
            <w:tcW w:w="1254" w:type="dxa"/>
            <w:tcBorders>
              <w:top w:val="single" w:sz="4" w:space="0" w:color="FFFFFF" w:themeColor="background1"/>
              <w:left w:val="single" w:sz="4" w:space="0" w:color="FFFFFF" w:themeColor="background1"/>
              <w:bottom w:val="single" w:sz="4" w:space="0" w:color="FFFFFF" w:themeColor="background1"/>
              <w:right w:val="nil"/>
            </w:tcBorders>
            <w:shd w:val="clear" w:color="auto" w:fill="DAEEF3"/>
            <w:noWrap/>
            <w:hideMark/>
          </w:tcPr>
          <w:p w14:paraId="3742FBF8" w14:textId="06844AF4" w:rsidR="000A2E37" w:rsidRPr="00737971" w:rsidRDefault="000A2E37" w:rsidP="000A2E37">
            <w:pPr>
              <w:jc w:val="right"/>
              <w:rPr>
                <w:rFonts w:eastAsia="Times New Roman"/>
                <w:color w:val="000000"/>
                <w:sz w:val="20"/>
                <w:szCs w:val="20"/>
                <w:lang w:eastAsia="nb-NO"/>
              </w:rPr>
            </w:pPr>
            <w:r w:rsidRPr="00732070">
              <w:t xml:space="preserve"> 28 060 </w:t>
            </w:r>
          </w:p>
        </w:tc>
      </w:tr>
      <w:tr w:rsidR="000A2E37" w:rsidRPr="00F44CF0" w14:paraId="6AFD848C" w14:textId="77777777" w:rsidTr="3E38A92A">
        <w:trPr>
          <w:trHeight w:val="288"/>
        </w:trPr>
        <w:tc>
          <w:tcPr>
            <w:tcW w:w="3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031E7EBC"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grensejustering</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43F0AAF1"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19 120 </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02DAC5AF"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17 100 </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1DDE84CC"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20 500 </w:t>
            </w:r>
          </w:p>
        </w:tc>
        <w:tc>
          <w:tcPr>
            <w:tcW w:w="1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7C993EC1" w14:textId="77777777" w:rsidR="000A2E37" w:rsidRPr="00F44CF0" w:rsidRDefault="000A2E37" w:rsidP="000A2E37">
            <w:pPr>
              <w:jc w:val="right"/>
              <w:rPr>
                <w:rFonts w:eastAsia="Times New Roman"/>
                <w:color w:val="000000"/>
                <w:sz w:val="20"/>
                <w:szCs w:val="20"/>
                <w:lang w:eastAsia="nb-NO"/>
              </w:rPr>
            </w:pPr>
            <w:r w:rsidRPr="00F44CF0">
              <w:rPr>
                <w:rFonts w:eastAsia="Times New Roman"/>
                <w:color w:val="000000"/>
                <w:sz w:val="20"/>
                <w:szCs w:val="20"/>
                <w:lang w:eastAsia="nb-NO"/>
              </w:rPr>
              <w:t xml:space="preserve">           15 180 </w:t>
            </w:r>
          </w:p>
        </w:tc>
        <w:tc>
          <w:tcPr>
            <w:tcW w:w="1254" w:type="dxa"/>
            <w:tcBorders>
              <w:top w:val="single" w:sz="4" w:space="0" w:color="FFFFFF" w:themeColor="background1"/>
              <w:left w:val="single" w:sz="4" w:space="0" w:color="FFFFFF" w:themeColor="background1"/>
              <w:bottom w:val="single" w:sz="4" w:space="0" w:color="FFFFFF" w:themeColor="background1"/>
              <w:right w:val="nil"/>
            </w:tcBorders>
            <w:shd w:val="clear" w:color="auto" w:fill="B7DEE8"/>
            <w:noWrap/>
            <w:hideMark/>
          </w:tcPr>
          <w:p w14:paraId="1E096F3F" w14:textId="4C160CFB" w:rsidR="000A2E37" w:rsidRPr="00737971" w:rsidRDefault="000A2E37" w:rsidP="000A2E37">
            <w:pPr>
              <w:jc w:val="right"/>
              <w:rPr>
                <w:rFonts w:eastAsia="Times New Roman"/>
                <w:color w:val="000000"/>
                <w:sz w:val="20"/>
                <w:szCs w:val="20"/>
                <w:lang w:eastAsia="nb-NO"/>
              </w:rPr>
            </w:pPr>
            <w:r w:rsidRPr="00732070">
              <w:t xml:space="preserve"> 8 970 </w:t>
            </w:r>
          </w:p>
        </w:tc>
      </w:tr>
      <w:tr w:rsidR="000A2E37" w:rsidRPr="00F44CF0" w14:paraId="05EA7D35" w14:textId="77777777" w:rsidTr="3E38A92A">
        <w:trPr>
          <w:trHeight w:val="288"/>
        </w:trPr>
        <w:tc>
          <w:tcPr>
            <w:tcW w:w="3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1AD2E5B3"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grenser uteareal eierseksjonering</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27C2BACD"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20 230 </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74851BD8"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16 700 </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318A1159"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14 600 </w:t>
            </w:r>
          </w:p>
        </w:tc>
        <w:tc>
          <w:tcPr>
            <w:tcW w:w="1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18C8621E" w14:textId="77777777" w:rsidR="000A2E37" w:rsidRPr="00F44CF0" w:rsidRDefault="000A2E37" w:rsidP="000A2E37">
            <w:pPr>
              <w:jc w:val="right"/>
              <w:rPr>
                <w:rFonts w:eastAsia="Times New Roman"/>
                <w:color w:val="000000"/>
                <w:sz w:val="20"/>
                <w:szCs w:val="20"/>
                <w:lang w:eastAsia="nb-NO"/>
              </w:rPr>
            </w:pPr>
            <w:r w:rsidRPr="00F44CF0">
              <w:rPr>
                <w:rFonts w:eastAsia="Times New Roman"/>
                <w:color w:val="000000"/>
                <w:sz w:val="20"/>
                <w:szCs w:val="20"/>
                <w:lang w:eastAsia="nb-NO"/>
              </w:rPr>
              <w:t xml:space="preserve">           16 860 </w:t>
            </w:r>
          </w:p>
        </w:tc>
        <w:tc>
          <w:tcPr>
            <w:tcW w:w="1254" w:type="dxa"/>
            <w:tcBorders>
              <w:top w:val="single" w:sz="4" w:space="0" w:color="FFFFFF" w:themeColor="background1"/>
              <w:left w:val="single" w:sz="4" w:space="0" w:color="FFFFFF" w:themeColor="background1"/>
              <w:bottom w:val="single" w:sz="4" w:space="0" w:color="FFFFFF" w:themeColor="background1"/>
              <w:right w:val="nil"/>
            </w:tcBorders>
            <w:shd w:val="clear" w:color="auto" w:fill="DAEEF3"/>
            <w:noWrap/>
            <w:hideMark/>
          </w:tcPr>
          <w:p w14:paraId="5A68EA1F" w14:textId="746605C2" w:rsidR="000A2E37" w:rsidRPr="00737971" w:rsidRDefault="000A2E37" w:rsidP="000A2E37">
            <w:pPr>
              <w:jc w:val="right"/>
              <w:rPr>
                <w:rFonts w:eastAsia="Times New Roman"/>
                <w:color w:val="000000"/>
                <w:sz w:val="20"/>
                <w:szCs w:val="20"/>
                <w:lang w:eastAsia="nb-NO"/>
              </w:rPr>
            </w:pPr>
            <w:r w:rsidRPr="00732070">
              <w:t xml:space="preserve"> 11 615 </w:t>
            </w:r>
          </w:p>
        </w:tc>
      </w:tr>
      <w:tr w:rsidR="000A2E37" w:rsidRPr="00F44CF0" w14:paraId="2BD4AA8A" w14:textId="77777777" w:rsidTr="3E38A92A">
        <w:trPr>
          <w:trHeight w:val="288"/>
        </w:trPr>
        <w:tc>
          <w:tcPr>
            <w:tcW w:w="3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0FD21AD8"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grunneiendom</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0A5C99FA"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37 460 </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1D8BC691"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26 700 </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164D6BBD"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26 800 </w:t>
            </w:r>
          </w:p>
        </w:tc>
        <w:tc>
          <w:tcPr>
            <w:tcW w:w="1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332AFAF1" w14:textId="77777777" w:rsidR="000A2E37" w:rsidRPr="00F44CF0" w:rsidRDefault="000A2E37" w:rsidP="000A2E37">
            <w:pPr>
              <w:jc w:val="right"/>
              <w:rPr>
                <w:rFonts w:eastAsia="Times New Roman"/>
                <w:color w:val="000000"/>
                <w:sz w:val="20"/>
                <w:szCs w:val="20"/>
                <w:lang w:eastAsia="nb-NO"/>
              </w:rPr>
            </w:pPr>
            <w:r w:rsidRPr="00F44CF0">
              <w:rPr>
                <w:rFonts w:eastAsia="Times New Roman"/>
                <w:color w:val="000000"/>
                <w:sz w:val="20"/>
                <w:szCs w:val="20"/>
                <w:lang w:eastAsia="nb-NO"/>
              </w:rPr>
              <w:t xml:space="preserve">           28 660 </w:t>
            </w:r>
          </w:p>
        </w:tc>
        <w:tc>
          <w:tcPr>
            <w:tcW w:w="1254" w:type="dxa"/>
            <w:tcBorders>
              <w:top w:val="single" w:sz="4" w:space="0" w:color="FFFFFF" w:themeColor="background1"/>
              <w:left w:val="single" w:sz="4" w:space="0" w:color="FFFFFF" w:themeColor="background1"/>
              <w:bottom w:val="single" w:sz="4" w:space="0" w:color="FFFFFF" w:themeColor="background1"/>
              <w:right w:val="nil"/>
            </w:tcBorders>
            <w:shd w:val="clear" w:color="auto" w:fill="B7DEE8"/>
            <w:noWrap/>
            <w:hideMark/>
          </w:tcPr>
          <w:p w14:paraId="12E9BBC2" w14:textId="29C0D221" w:rsidR="000A2E37" w:rsidRPr="00737971" w:rsidRDefault="000A2E37" w:rsidP="000A2E37">
            <w:pPr>
              <w:jc w:val="right"/>
              <w:rPr>
                <w:rFonts w:eastAsia="Times New Roman"/>
                <w:color w:val="000000"/>
                <w:sz w:val="20"/>
                <w:szCs w:val="20"/>
                <w:lang w:eastAsia="nb-NO"/>
              </w:rPr>
            </w:pPr>
            <w:r w:rsidRPr="00732070">
              <w:t xml:space="preserve"> 28 060 </w:t>
            </w:r>
          </w:p>
        </w:tc>
      </w:tr>
      <w:tr w:rsidR="000A2E37" w:rsidRPr="00F44CF0" w14:paraId="62B76D1C" w14:textId="77777777" w:rsidTr="3E38A92A">
        <w:trPr>
          <w:trHeight w:val="288"/>
        </w:trPr>
        <w:tc>
          <w:tcPr>
            <w:tcW w:w="3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189F384B"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utbyggingsområde</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2F3F45A7"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79 870 </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295FD82F"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68 100 </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5CF5459C"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64 600 </w:t>
            </w:r>
          </w:p>
        </w:tc>
        <w:tc>
          <w:tcPr>
            <w:tcW w:w="1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noWrap/>
            <w:vAlign w:val="bottom"/>
            <w:hideMark/>
          </w:tcPr>
          <w:p w14:paraId="487C56E6" w14:textId="77777777" w:rsidR="000A2E37" w:rsidRPr="00F44CF0" w:rsidRDefault="000A2E37" w:rsidP="000A2E37">
            <w:pPr>
              <w:jc w:val="right"/>
              <w:rPr>
                <w:rFonts w:eastAsia="Times New Roman"/>
                <w:color w:val="000000"/>
                <w:sz w:val="20"/>
                <w:szCs w:val="20"/>
                <w:lang w:eastAsia="nb-NO"/>
              </w:rPr>
            </w:pPr>
            <w:r w:rsidRPr="00F44CF0">
              <w:rPr>
                <w:rFonts w:eastAsia="Times New Roman"/>
                <w:color w:val="000000"/>
                <w:sz w:val="20"/>
                <w:szCs w:val="20"/>
                <w:lang w:eastAsia="nb-NO"/>
              </w:rPr>
              <w:t xml:space="preserve">           84 460 </w:t>
            </w:r>
          </w:p>
        </w:tc>
        <w:tc>
          <w:tcPr>
            <w:tcW w:w="1254" w:type="dxa"/>
            <w:tcBorders>
              <w:top w:val="single" w:sz="4" w:space="0" w:color="FFFFFF" w:themeColor="background1"/>
              <w:left w:val="single" w:sz="4" w:space="0" w:color="FFFFFF" w:themeColor="background1"/>
              <w:bottom w:val="single" w:sz="4" w:space="0" w:color="FFFFFF" w:themeColor="background1"/>
              <w:right w:val="nil"/>
            </w:tcBorders>
            <w:shd w:val="clear" w:color="auto" w:fill="DAEEF3"/>
            <w:noWrap/>
            <w:hideMark/>
          </w:tcPr>
          <w:p w14:paraId="651E9E9A" w14:textId="663CD74C" w:rsidR="000A2E37" w:rsidRPr="00737971" w:rsidRDefault="000A2E37" w:rsidP="000A2E37">
            <w:pPr>
              <w:jc w:val="right"/>
              <w:rPr>
                <w:rFonts w:eastAsia="Times New Roman"/>
                <w:color w:val="000000"/>
                <w:sz w:val="20"/>
                <w:szCs w:val="20"/>
                <w:lang w:eastAsia="nb-NO"/>
              </w:rPr>
            </w:pPr>
            <w:r w:rsidRPr="00732070">
              <w:t xml:space="preserve"> 63 250 </w:t>
            </w:r>
          </w:p>
        </w:tc>
      </w:tr>
      <w:tr w:rsidR="000A2E37" w:rsidRPr="00F44CF0" w14:paraId="360763FB" w14:textId="77777777" w:rsidTr="3E38A92A">
        <w:trPr>
          <w:trHeight w:val="288"/>
        </w:trPr>
        <w:tc>
          <w:tcPr>
            <w:tcW w:w="3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31E1ABFB"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klarlegging sikre grenser</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398F89BC"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10 610 </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52A3CB0F"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3 700 </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70B1EF83"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4 950 </w:t>
            </w:r>
          </w:p>
        </w:tc>
        <w:tc>
          <w:tcPr>
            <w:tcW w:w="1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7DEE8"/>
            <w:noWrap/>
            <w:vAlign w:val="bottom"/>
            <w:hideMark/>
          </w:tcPr>
          <w:p w14:paraId="753E7876" w14:textId="77777777" w:rsidR="000A2E37" w:rsidRPr="00F44CF0" w:rsidRDefault="000A2E37" w:rsidP="000A2E37">
            <w:pPr>
              <w:jc w:val="right"/>
              <w:rPr>
                <w:rFonts w:eastAsia="Times New Roman"/>
                <w:color w:val="000000"/>
                <w:sz w:val="20"/>
                <w:szCs w:val="20"/>
                <w:lang w:eastAsia="nb-NO"/>
              </w:rPr>
            </w:pPr>
            <w:r w:rsidRPr="00F44CF0">
              <w:rPr>
                <w:rFonts w:eastAsia="Times New Roman"/>
                <w:color w:val="000000"/>
                <w:sz w:val="20"/>
                <w:szCs w:val="20"/>
                <w:lang w:eastAsia="nb-NO"/>
              </w:rPr>
              <w:t xml:space="preserve">             6 200 </w:t>
            </w:r>
          </w:p>
        </w:tc>
        <w:tc>
          <w:tcPr>
            <w:tcW w:w="1254" w:type="dxa"/>
            <w:tcBorders>
              <w:top w:val="single" w:sz="4" w:space="0" w:color="FFFFFF" w:themeColor="background1"/>
              <w:left w:val="single" w:sz="4" w:space="0" w:color="FFFFFF" w:themeColor="background1"/>
              <w:bottom w:val="single" w:sz="4" w:space="0" w:color="FFFFFF" w:themeColor="background1"/>
              <w:right w:val="nil"/>
            </w:tcBorders>
            <w:shd w:val="clear" w:color="auto" w:fill="B7DEE8"/>
            <w:noWrap/>
            <w:hideMark/>
          </w:tcPr>
          <w:p w14:paraId="78A03B14" w14:textId="294E395A" w:rsidR="000A2E37" w:rsidRPr="00737971" w:rsidRDefault="000A2E37" w:rsidP="000A2E37">
            <w:pPr>
              <w:jc w:val="right"/>
              <w:rPr>
                <w:rFonts w:eastAsia="Times New Roman"/>
                <w:color w:val="000000"/>
                <w:sz w:val="20"/>
                <w:szCs w:val="20"/>
                <w:lang w:eastAsia="nb-NO"/>
              </w:rPr>
            </w:pPr>
            <w:r w:rsidRPr="00732070">
              <w:t xml:space="preserve"> 6 670 </w:t>
            </w:r>
          </w:p>
        </w:tc>
      </w:tr>
      <w:tr w:rsidR="000A2E37" w:rsidRPr="00F44CF0" w14:paraId="78309CA1" w14:textId="77777777" w:rsidTr="3E38A92A">
        <w:trPr>
          <w:trHeight w:val="288"/>
        </w:trPr>
        <w:tc>
          <w:tcPr>
            <w:tcW w:w="3109" w:type="dxa"/>
            <w:tcBorders>
              <w:top w:val="single" w:sz="4" w:space="0" w:color="FFFFFF" w:themeColor="background1"/>
              <w:left w:val="single" w:sz="4" w:space="0" w:color="FFFFFF" w:themeColor="background1"/>
              <w:bottom w:val="nil"/>
              <w:right w:val="single" w:sz="4" w:space="0" w:color="FFFFFF" w:themeColor="background1"/>
            </w:tcBorders>
            <w:shd w:val="clear" w:color="auto" w:fill="DAEEF3"/>
            <w:noWrap/>
            <w:vAlign w:val="bottom"/>
            <w:hideMark/>
          </w:tcPr>
          <w:p w14:paraId="54935572"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klarlegging usikre grenser</w:t>
            </w:r>
          </w:p>
        </w:tc>
        <w:tc>
          <w:tcPr>
            <w:tcW w:w="1208" w:type="dxa"/>
            <w:tcBorders>
              <w:top w:val="single" w:sz="4" w:space="0" w:color="FFFFFF" w:themeColor="background1"/>
              <w:left w:val="single" w:sz="4" w:space="0" w:color="FFFFFF" w:themeColor="background1"/>
              <w:bottom w:val="nil"/>
              <w:right w:val="single" w:sz="4" w:space="0" w:color="FFFFFF" w:themeColor="background1"/>
            </w:tcBorders>
            <w:shd w:val="clear" w:color="auto" w:fill="DAEEF3"/>
            <w:noWrap/>
            <w:vAlign w:val="bottom"/>
            <w:hideMark/>
          </w:tcPr>
          <w:p w14:paraId="3341D846"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15 450 </w:t>
            </w:r>
          </w:p>
        </w:tc>
        <w:tc>
          <w:tcPr>
            <w:tcW w:w="1208" w:type="dxa"/>
            <w:tcBorders>
              <w:top w:val="single" w:sz="4" w:space="0" w:color="FFFFFF" w:themeColor="background1"/>
              <w:left w:val="single" w:sz="4" w:space="0" w:color="FFFFFF" w:themeColor="background1"/>
              <w:bottom w:val="nil"/>
              <w:right w:val="single" w:sz="4" w:space="0" w:color="FFFFFF" w:themeColor="background1"/>
            </w:tcBorders>
            <w:shd w:val="clear" w:color="auto" w:fill="DAEEF3"/>
            <w:noWrap/>
            <w:vAlign w:val="bottom"/>
            <w:hideMark/>
          </w:tcPr>
          <w:p w14:paraId="0012B174"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6 300 </w:t>
            </w:r>
          </w:p>
        </w:tc>
        <w:tc>
          <w:tcPr>
            <w:tcW w:w="1373" w:type="dxa"/>
            <w:tcBorders>
              <w:top w:val="single" w:sz="4" w:space="0" w:color="FFFFFF" w:themeColor="background1"/>
              <w:left w:val="single" w:sz="4" w:space="0" w:color="FFFFFF" w:themeColor="background1"/>
              <w:bottom w:val="nil"/>
              <w:right w:val="single" w:sz="4" w:space="0" w:color="FFFFFF" w:themeColor="background1"/>
            </w:tcBorders>
            <w:shd w:val="clear" w:color="auto" w:fill="DAEEF3"/>
            <w:noWrap/>
            <w:vAlign w:val="bottom"/>
            <w:hideMark/>
          </w:tcPr>
          <w:p w14:paraId="682E4F35" w14:textId="77777777" w:rsidR="000A2E37" w:rsidRPr="00F44CF0" w:rsidRDefault="000A2E37" w:rsidP="000A2E37">
            <w:pPr>
              <w:rPr>
                <w:rFonts w:eastAsia="Times New Roman"/>
                <w:color w:val="000000"/>
                <w:sz w:val="20"/>
                <w:szCs w:val="20"/>
                <w:lang w:eastAsia="nb-NO"/>
              </w:rPr>
            </w:pPr>
            <w:r w:rsidRPr="00F44CF0">
              <w:rPr>
                <w:rFonts w:eastAsia="Times New Roman"/>
                <w:color w:val="000000"/>
                <w:sz w:val="20"/>
                <w:szCs w:val="20"/>
                <w:lang w:eastAsia="nb-NO"/>
              </w:rPr>
              <w:t xml:space="preserve">               4 950 </w:t>
            </w:r>
          </w:p>
        </w:tc>
        <w:tc>
          <w:tcPr>
            <w:tcW w:w="1254" w:type="dxa"/>
            <w:tcBorders>
              <w:top w:val="single" w:sz="4" w:space="0" w:color="FFFFFF" w:themeColor="background1"/>
              <w:left w:val="single" w:sz="4" w:space="0" w:color="FFFFFF" w:themeColor="background1"/>
              <w:bottom w:val="nil"/>
              <w:right w:val="single" w:sz="4" w:space="0" w:color="FFFFFF" w:themeColor="background1"/>
            </w:tcBorders>
            <w:shd w:val="clear" w:color="auto" w:fill="DAEEF3"/>
            <w:noWrap/>
            <w:vAlign w:val="bottom"/>
            <w:hideMark/>
          </w:tcPr>
          <w:p w14:paraId="53A19A91" w14:textId="77777777" w:rsidR="000A2E37" w:rsidRPr="00F44CF0" w:rsidRDefault="000A2E37" w:rsidP="000A2E37">
            <w:pPr>
              <w:jc w:val="right"/>
              <w:rPr>
                <w:rFonts w:eastAsia="Times New Roman"/>
                <w:color w:val="000000"/>
                <w:sz w:val="20"/>
                <w:szCs w:val="20"/>
                <w:lang w:eastAsia="nb-NO"/>
              </w:rPr>
            </w:pPr>
            <w:r w:rsidRPr="00F44CF0">
              <w:rPr>
                <w:rFonts w:eastAsia="Times New Roman"/>
                <w:color w:val="000000"/>
                <w:sz w:val="20"/>
                <w:szCs w:val="20"/>
                <w:lang w:eastAsia="nb-NO"/>
              </w:rPr>
              <w:t xml:space="preserve">           10 120 </w:t>
            </w:r>
          </w:p>
        </w:tc>
        <w:tc>
          <w:tcPr>
            <w:tcW w:w="1254" w:type="dxa"/>
            <w:tcBorders>
              <w:top w:val="single" w:sz="4" w:space="0" w:color="FFFFFF" w:themeColor="background1"/>
              <w:left w:val="single" w:sz="4" w:space="0" w:color="FFFFFF" w:themeColor="background1"/>
              <w:bottom w:val="nil"/>
              <w:right w:val="nil"/>
            </w:tcBorders>
            <w:shd w:val="clear" w:color="auto" w:fill="DAEEF3"/>
            <w:noWrap/>
            <w:hideMark/>
          </w:tcPr>
          <w:p w14:paraId="79B38CE1" w14:textId="0E44A2FE" w:rsidR="000A2E37" w:rsidRPr="00737971" w:rsidRDefault="000A2E37" w:rsidP="000A2E37">
            <w:pPr>
              <w:jc w:val="right"/>
              <w:rPr>
                <w:rFonts w:eastAsia="Times New Roman"/>
                <w:color w:val="000000"/>
                <w:sz w:val="20"/>
                <w:szCs w:val="20"/>
                <w:lang w:eastAsia="nb-NO"/>
              </w:rPr>
            </w:pPr>
            <w:r w:rsidRPr="00732070">
              <w:t xml:space="preserve"> 10 350 </w:t>
            </w:r>
          </w:p>
        </w:tc>
      </w:tr>
      <w:tr w:rsidR="00F44CF0" w:rsidRPr="00F44CF0" w14:paraId="1249E4B0" w14:textId="77777777" w:rsidTr="3E38A92A">
        <w:trPr>
          <w:trHeight w:val="288"/>
        </w:trPr>
        <w:tc>
          <w:tcPr>
            <w:tcW w:w="3109" w:type="dxa"/>
            <w:tcBorders>
              <w:top w:val="nil"/>
              <w:left w:val="nil"/>
              <w:bottom w:val="nil"/>
              <w:right w:val="nil"/>
            </w:tcBorders>
            <w:shd w:val="clear" w:color="auto" w:fill="auto"/>
            <w:noWrap/>
            <w:vAlign w:val="bottom"/>
            <w:hideMark/>
          </w:tcPr>
          <w:p w14:paraId="7BF5C74B" w14:textId="77777777" w:rsidR="00F44CF0" w:rsidRPr="00F44CF0" w:rsidRDefault="00F44CF0" w:rsidP="00F44CF0">
            <w:pPr>
              <w:rPr>
                <w:rFonts w:eastAsia="Times New Roman"/>
                <w:color w:val="000000"/>
                <w:sz w:val="20"/>
                <w:szCs w:val="20"/>
                <w:lang w:eastAsia="nb-NO"/>
              </w:rPr>
            </w:pPr>
          </w:p>
        </w:tc>
        <w:tc>
          <w:tcPr>
            <w:tcW w:w="1208" w:type="dxa"/>
            <w:tcBorders>
              <w:top w:val="nil"/>
              <w:left w:val="nil"/>
              <w:bottom w:val="nil"/>
              <w:right w:val="nil"/>
            </w:tcBorders>
            <w:shd w:val="clear" w:color="auto" w:fill="auto"/>
            <w:noWrap/>
            <w:vAlign w:val="bottom"/>
            <w:hideMark/>
          </w:tcPr>
          <w:p w14:paraId="1EEB7D5D" w14:textId="77777777" w:rsidR="00F44CF0" w:rsidRPr="00F44CF0" w:rsidRDefault="00F44CF0" w:rsidP="00F44CF0">
            <w:pPr>
              <w:jc w:val="right"/>
              <w:rPr>
                <w:rFonts w:ascii="Times New Roman" w:eastAsia="Times New Roman" w:hAnsi="Times New Roman" w:cs="Times New Roman"/>
                <w:sz w:val="20"/>
                <w:szCs w:val="20"/>
                <w:lang w:eastAsia="nb-NO"/>
              </w:rPr>
            </w:pPr>
          </w:p>
        </w:tc>
        <w:tc>
          <w:tcPr>
            <w:tcW w:w="1208" w:type="dxa"/>
            <w:tcBorders>
              <w:top w:val="nil"/>
              <w:left w:val="nil"/>
              <w:bottom w:val="nil"/>
              <w:right w:val="nil"/>
            </w:tcBorders>
            <w:shd w:val="clear" w:color="auto" w:fill="auto"/>
            <w:noWrap/>
            <w:vAlign w:val="bottom"/>
            <w:hideMark/>
          </w:tcPr>
          <w:p w14:paraId="4B3508AA" w14:textId="77777777" w:rsidR="00F44CF0" w:rsidRPr="00F44CF0" w:rsidRDefault="00F44CF0" w:rsidP="00F44CF0">
            <w:pPr>
              <w:jc w:val="right"/>
              <w:rPr>
                <w:rFonts w:ascii="Times New Roman" w:eastAsia="Times New Roman" w:hAnsi="Times New Roman" w:cs="Times New Roman"/>
                <w:sz w:val="20"/>
                <w:szCs w:val="20"/>
                <w:lang w:eastAsia="nb-NO"/>
              </w:rPr>
            </w:pPr>
          </w:p>
        </w:tc>
        <w:tc>
          <w:tcPr>
            <w:tcW w:w="1373" w:type="dxa"/>
            <w:tcBorders>
              <w:top w:val="nil"/>
              <w:left w:val="nil"/>
              <w:bottom w:val="nil"/>
              <w:right w:val="nil"/>
            </w:tcBorders>
            <w:shd w:val="clear" w:color="auto" w:fill="auto"/>
            <w:noWrap/>
            <w:vAlign w:val="bottom"/>
            <w:hideMark/>
          </w:tcPr>
          <w:p w14:paraId="4C9A3E38" w14:textId="77777777" w:rsidR="00F44CF0" w:rsidRPr="00F44CF0" w:rsidRDefault="00F44CF0" w:rsidP="00F44CF0">
            <w:pPr>
              <w:jc w:val="right"/>
              <w:rPr>
                <w:rFonts w:ascii="Times New Roman" w:eastAsia="Times New Roman" w:hAnsi="Times New Roman" w:cs="Times New Roman"/>
                <w:sz w:val="20"/>
                <w:szCs w:val="20"/>
                <w:lang w:eastAsia="nb-NO"/>
              </w:rPr>
            </w:pPr>
          </w:p>
        </w:tc>
        <w:tc>
          <w:tcPr>
            <w:tcW w:w="1254" w:type="dxa"/>
            <w:tcBorders>
              <w:top w:val="nil"/>
              <w:left w:val="nil"/>
              <w:bottom w:val="nil"/>
              <w:right w:val="nil"/>
            </w:tcBorders>
            <w:shd w:val="clear" w:color="auto" w:fill="auto"/>
            <w:noWrap/>
            <w:vAlign w:val="bottom"/>
            <w:hideMark/>
          </w:tcPr>
          <w:p w14:paraId="5451C9BA" w14:textId="77777777" w:rsidR="00F44CF0" w:rsidRPr="00F44CF0" w:rsidRDefault="00F44CF0" w:rsidP="00F44CF0">
            <w:pPr>
              <w:jc w:val="right"/>
              <w:rPr>
                <w:rFonts w:ascii="Times New Roman" w:eastAsia="Times New Roman" w:hAnsi="Times New Roman" w:cs="Times New Roman"/>
                <w:sz w:val="20"/>
                <w:szCs w:val="20"/>
                <w:lang w:eastAsia="nb-NO"/>
              </w:rPr>
            </w:pPr>
          </w:p>
        </w:tc>
        <w:tc>
          <w:tcPr>
            <w:tcW w:w="1254" w:type="dxa"/>
            <w:tcBorders>
              <w:top w:val="nil"/>
              <w:left w:val="nil"/>
              <w:bottom w:val="nil"/>
              <w:right w:val="nil"/>
            </w:tcBorders>
            <w:shd w:val="clear" w:color="auto" w:fill="auto"/>
            <w:noWrap/>
            <w:vAlign w:val="bottom"/>
            <w:hideMark/>
          </w:tcPr>
          <w:p w14:paraId="60B4C72D" w14:textId="77777777" w:rsidR="00F44CF0" w:rsidRPr="00F44CF0" w:rsidRDefault="00F44CF0" w:rsidP="00F44CF0">
            <w:pPr>
              <w:jc w:val="right"/>
              <w:rPr>
                <w:rFonts w:ascii="Times New Roman" w:eastAsia="Times New Roman" w:hAnsi="Times New Roman" w:cs="Times New Roman"/>
                <w:sz w:val="20"/>
                <w:szCs w:val="20"/>
                <w:lang w:eastAsia="nb-NO"/>
              </w:rPr>
            </w:pPr>
          </w:p>
        </w:tc>
      </w:tr>
      <w:tr w:rsidR="00F44CF0" w:rsidRPr="00F44CF0" w14:paraId="4C5522CE" w14:textId="77777777" w:rsidTr="3E38A92A">
        <w:trPr>
          <w:trHeight w:val="288"/>
        </w:trPr>
        <w:tc>
          <w:tcPr>
            <w:tcW w:w="3109" w:type="dxa"/>
            <w:tcBorders>
              <w:top w:val="nil"/>
              <w:left w:val="nil"/>
              <w:bottom w:val="nil"/>
              <w:right w:val="nil"/>
            </w:tcBorders>
            <w:shd w:val="clear" w:color="auto" w:fill="auto"/>
            <w:noWrap/>
            <w:vAlign w:val="bottom"/>
            <w:hideMark/>
          </w:tcPr>
          <w:p w14:paraId="37D6F786" w14:textId="449D17D9" w:rsidR="00F44CF0" w:rsidRPr="00F44CF0" w:rsidRDefault="00F44CF0" w:rsidP="00F44CF0">
            <w:pPr>
              <w:jc w:val="right"/>
              <w:rPr>
                <w:rFonts w:eastAsia="Times New Roman"/>
                <w:color w:val="000000"/>
                <w:sz w:val="20"/>
                <w:szCs w:val="20"/>
                <w:lang w:eastAsia="nb-NO"/>
              </w:rPr>
            </w:pPr>
            <w:r w:rsidRPr="00F44CF0">
              <w:rPr>
                <w:rFonts w:eastAsia="Times New Roman"/>
                <w:color w:val="000000"/>
                <w:sz w:val="20"/>
                <w:szCs w:val="20"/>
                <w:lang w:eastAsia="nb-NO"/>
              </w:rPr>
              <w:lastRenderedPageBreak/>
              <w:t>Relasjon</w:t>
            </w:r>
            <w:r w:rsidR="00D31E46">
              <w:rPr>
                <w:rFonts w:eastAsia="Times New Roman"/>
                <w:color w:val="000000"/>
                <w:sz w:val="20"/>
                <w:szCs w:val="20"/>
                <w:lang w:eastAsia="nb-NO"/>
              </w:rPr>
              <w:t xml:space="preserve"> gebyrsatser</w:t>
            </w:r>
            <w:r w:rsidRPr="00F44CF0">
              <w:rPr>
                <w:rFonts w:eastAsia="Times New Roman"/>
                <w:color w:val="000000"/>
                <w:sz w:val="20"/>
                <w:szCs w:val="20"/>
                <w:lang w:eastAsia="nb-NO"/>
              </w:rPr>
              <w:t>:</w:t>
            </w:r>
          </w:p>
        </w:tc>
        <w:tc>
          <w:tcPr>
            <w:tcW w:w="1208" w:type="dxa"/>
            <w:tcBorders>
              <w:top w:val="nil"/>
              <w:left w:val="nil"/>
              <w:bottom w:val="nil"/>
              <w:right w:val="nil"/>
            </w:tcBorders>
            <w:shd w:val="clear" w:color="auto" w:fill="auto"/>
            <w:noWrap/>
            <w:vAlign w:val="bottom"/>
            <w:hideMark/>
          </w:tcPr>
          <w:p w14:paraId="4CE2A360" w14:textId="77777777" w:rsidR="00F44CF0" w:rsidRPr="00F44CF0" w:rsidRDefault="00F44CF0" w:rsidP="00F44CF0">
            <w:pPr>
              <w:jc w:val="right"/>
              <w:rPr>
                <w:rFonts w:eastAsia="Times New Roman"/>
                <w:color w:val="000000"/>
                <w:sz w:val="20"/>
                <w:szCs w:val="20"/>
                <w:lang w:eastAsia="nb-NO"/>
              </w:rPr>
            </w:pPr>
            <w:r w:rsidRPr="00F44CF0">
              <w:rPr>
                <w:rFonts w:eastAsia="Times New Roman"/>
                <w:color w:val="000000"/>
                <w:sz w:val="20"/>
                <w:szCs w:val="20"/>
                <w:lang w:eastAsia="nb-NO"/>
              </w:rPr>
              <w:t>100 %</w:t>
            </w:r>
          </w:p>
        </w:tc>
        <w:tc>
          <w:tcPr>
            <w:tcW w:w="1208" w:type="dxa"/>
            <w:tcBorders>
              <w:top w:val="nil"/>
              <w:left w:val="nil"/>
              <w:bottom w:val="nil"/>
              <w:right w:val="nil"/>
            </w:tcBorders>
            <w:shd w:val="clear" w:color="auto" w:fill="auto"/>
            <w:noWrap/>
            <w:vAlign w:val="bottom"/>
            <w:hideMark/>
          </w:tcPr>
          <w:p w14:paraId="2DA26F98" w14:textId="77777777" w:rsidR="00F44CF0" w:rsidRPr="00F44CF0" w:rsidRDefault="00F44CF0" w:rsidP="00F44CF0">
            <w:pPr>
              <w:jc w:val="right"/>
              <w:rPr>
                <w:rFonts w:eastAsia="Times New Roman"/>
                <w:color w:val="000000"/>
                <w:sz w:val="20"/>
                <w:szCs w:val="20"/>
                <w:lang w:eastAsia="nb-NO"/>
              </w:rPr>
            </w:pPr>
            <w:r w:rsidRPr="00F44CF0">
              <w:rPr>
                <w:rFonts w:eastAsia="Times New Roman"/>
                <w:color w:val="000000"/>
                <w:sz w:val="20"/>
                <w:szCs w:val="20"/>
                <w:lang w:eastAsia="nb-NO"/>
              </w:rPr>
              <w:t>73 %</w:t>
            </w:r>
          </w:p>
        </w:tc>
        <w:tc>
          <w:tcPr>
            <w:tcW w:w="1373" w:type="dxa"/>
            <w:tcBorders>
              <w:top w:val="nil"/>
              <w:left w:val="nil"/>
              <w:bottom w:val="nil"/>
              <w:right w:val="nil"/>
            </w:tcBorders>
            <w:shd w:val="clear" w:color="auto" w:fill="auto"/>
            <w:noWrap/>
            <w:vAlign w:val="bottom"/>
            <w:hideMark/>
          </w:tcPr>
          <w:p w14:paraId="4B9FEC44" w14:textId="77777777" w:rsidR="00F44CF0" w:rsidRPr="00F44CF0" w:rsidRDefault="00F44CF0" w:rsidP="00F44CF0">
            <w:pPr>
              <w:jc w:val="right"/>
              <w:rPr>
                <w:rFonts w:eastAsia="Times New Roman"/>
                <w:color w:val="000000"/>
                <w:sz w:val="20"/>
                <w:szCs w:val="20"/>
                <w:lang w:eastAsia="nb-NO"/>
              </w:rPr>
            </w:pPr>
            <w:r w:rsidRPr="00F44CF0">
              <w:rPr>
                <w:rFonts w:eastAsia="Times New Roman"/>
                <w:color w:val="000000"/>
                <w:sz w:val="20"/>
                <w:szCs w:val="20"/>
                <w:lang w:eastAsia="nb-NO"/>
              </w:rPr>
              <w:t>74 %</w:t>
            </w:r>
          </w:p>
        </w:tc>
        <w:tc>
          <w:tcPr>
            <w:tcW w:w="1254" w:type="dxa"/>
            <w:tcBorders>
              <w:top w:val="nil"/>
              <w:left w:val="nil"/>
              <w:bottom w:val="nil"/>
              <w:right w:val="nil"/>
            </w:tcBorders>
            <w:shd w:val="clear" w:color="auto" w:fill="auto"/>
            <w:noWrap/>
            <w:vAlign w:val="bottom"/>
            <w:hideMark/>
          </w:tcPr>
          <w:p w14:paraId="5137C292" w14:textId="77777777" w:rsidR="00F44CF0" w:rsidRPr="00F44CF0" w:rsidRDefault="00F44CF0" w:rsidP="00F44CF0">
            <w:pPr>
              <w:jc w:val="right"/>
              <w:rPr>
                <w:rFonts w:eastAsia="Times New Roman"/>
                <w:color w:val="000000"/>
                <w:sz w:val="20"/>
                <w:szCs w:val="20"/>
                <w:lang w:eastAsia="nb-NO"/>
              </w:rPr>
            </w:pPr>
            <w:r w:rsidRPr="00F44CF0">
              <w:rPr>
                <w:rFonts w:eastAsia="Times New Roman"/>
                <w:color w:val="000000"/>
                <w:sz w:val="20"/>
                <w:szCs w:val="20"/>
                <w:lang w:eastAsia="nb-NO"/>
              </w:rPr>
              <w:t>83 %</w:t>
            </w:r>
          </w:p>
        </w:tc>
        <w:tc>
          <w:tcPr>
            <w:tcW w:w="1254" w:type="dxa"/>
            <w:tcBorders>
              <w:top w:val="nil"/>
              <w:left w:val="nil"/>
              <w:bottom w:val="nil"/>
              <w:right w:val="nil"/>
            </w:tcBorders>
            <w:shd w:val="clear" w:color="auto" w:fill="auto"/>
            <w:noWrap/>
            <w:vAlign w:val="bottom"/>
            <w:hideMark/>
          </w:tcPr>
          <w:p w14:paraId="63303B05" w14:textId="1CE59DFE" w:rsidR="00F44CF0" w:rsidRPr="00F44CF0" w:rsidRDefault="000A2E37" w:rsidP="005E5D14">
            <w:pPr>
              <w:keepNext/>
              <w:jc w:val="right"/>
              <w:rPr>
                <w:rFonts w:eastAsia="Times New Roman"/>
                <w:color w:val="000000"/>
                <w:sz w:val="20"/>
                <w:szCs w:val="20"/>
                <w:highlight w:val="yellow"/>
                <w:lang w:eastAsia="nb-NO"/>
              </w:rPr>
            </w:pPr>
            <w:r>
              <w:rPr>
                <w:rFonts w:eastAsia="Times New Roman"/>
                <w:color w:val="000000"/>
                <w:sz w:val="20"/>
                <w:szCs w:val="20"/>
                <w:highlight w:val="yellow"/>
                <w:lang w:eastAsia="nb-NO"/>
              </w:rPr>
              <w:t>71</w:t>
            </w:r>
            <w:r w:rsidR="00F44CF0" w:rsidRPr="00F44CF0">
              <w:rPr>
                <w:rFonts w:eastAsia="Times New Roman"/>
                <w:color w:val="000000"/>
                <w:sz w:val="20"/>
                <w:szCs w:val="20"/>
                <w:highlight w:val="yellow"/>
                <w:lang w:eastAsia="nb-NO"/>
              </w:rPr>
              <w:t xml:space="preserve"> %</w:t>
            </w:r>
          </w:p>
        </w:tc>
      </w:tr>
    </w:tbl>
    <w:p w14:paraId="2E1A8B38" w14:textId="4C0F2104" w:rsidR="003514FF" w:rsidRDefault="005E5D14" w:rsidP="005E5D14">
      <w:pPr>
        <w:pStyle w:val="Bildetekst"/>
      </w:pPr>
      <w:r>
        <w:t xml:space="preserve">Figur </w:t>
      </w:r>
      <w:r>
        <w:fldChar w:fldCharType="begin"/>
      </w:r>
      <w:r>
        <w:instrText>SEQ Figur \* ARABIC</w:instrText>
      </w:r>
      <w:r>
        <w:fldChar w:fldCharType="separate"/>
      </w:r>
      <w:r w:rsidR="00FD614C">
        <w:rPr>
          <w:noProof/>
        </w:rPr>
        <w:t>5</w:t>
      </w:r>
      <w:r>
        <w:fldChar w:fldCharType="end"/>
      </w:r>
    </w:p>
    <w:p w14:paraId="1F345F84" w14:textId="4D4CDB08" w:rsidR="006E3FE6" w:rsidRPr="003C228D" w:rsidRDefault="006E3FE6" w:rsidP="006E3FE6">
      <w:pPr>
        <w:pStyle w:val="Overskrift1"/>
        <w:rPr>
          <w:b/>
          <w:bCs/>
        </w:rPr>
      </w:pPr>
      <w:r w:rsidRPr="003C228D">
        <w:rPr>
          <w:b/>
          <w:bCs/>
        </w:rPr>
        <w:t>Oppsummering</w:t>
      </w:r>
      <w:r w:rsidR="00950291" w:rsidRPr="003C228D">
        <w:rPr>
          <w:b/>
          <w:bCs/>
        </w:rPr>
        <w:t xml:space="preserve"> økonomi</w:t>
      </w:r>
    </w:p>
    <w:p w14:paraId="1F55C596" w14:textId="3889CF4E" w:rsidR="00D27C1E" w:rsidRDefault="00D27C1E" w:rsidP="00873027"/>
    <w:p w14:paraId="19E2A593" w14:textId="359A2537" w:rsidR="00D27C1E" w:rsidRDefault="0021736D" w:rsidP="00873027">
      <w:r>
        <w:t>Figur 6</w:t>
      </w:r>
      <w:r w:rsidR="00950291">
        <w:t xml:space="preserve"> viser</w:t>
      </w:r>
      <w:r w:rsidR="00AD29E0">
        <w:t xml:space="preserve"> </w:t>
      </w:r>
      <w:r w:rsidR="004F6B2C">
        <w:t>e</w:t>
      </w:r>
      <w:r w:rsidR="00950291">
        <w:t xml:space="preserve">n </w:t>
      </w:r>
      <w:r w:rsidR="004F6B2C">
        <w:t xml:space="preserve">estimert </w:t>
      </w:r>
      <w:r w:rsidR="00950291">
        <w:t>økonomisk situasjon</w:t>
      </w:r>
      <w:r w:rsidR="006B5756">
        <w:t xml:space="preserve"> ved slutten av inneværende år</w:t>
      </w:r>
      <w:r w:rsidR="00400EF9">
        <w:t>.</w:t>
      </w:r>
    </w:p>
    <w:tbl>
      <w:tblPr>
        <w:tblStyle w:val="Tabellrutenett"/>
        <w:tblW w:w="0" w:type="auto"/>
        <w:tblLook w:val="04A0" w:firstRow="1" w:lastRow="0" w:firstColumn="1" w:lastColumn="0" w:noHBand="0" w:noVBand="1"/>
      </w:tblPr>
      <w:tblGrid>
        <w:gridCol w:w="7508"/>
        <w:gridCol w:w="1276"/>
      </w:tblGrid>
      <w:tr w:rsidR="00FD614C" w14:paraId="5A1F8F63" w14:textId="77777777" w:rsidTr="00164C7D">
        <w:tc>
          <w:tcPr>
            <w:tcW w:w="7508" w:type="dxa"/>
          </w:tcPr>
          <w:p w14:paraId="091E9E7E" w14:textId="1EA6DE81" w:rsidR="00FD614C" w:rsidRPr="00950291" w:rsidRDefault="00FD614C" w:rsidP="00873027">
            <w:pPr>
              <w:rPr>
                <w:b/>
                <w:bCs/>
              </w:rPr>
            </w:pPr>
            <w:r w:rsidRPr="00950291">
              <w:rPr>
                <w:b/>
                <w:bCs/>
              </w:rPr>
              <w:t>Tekst</w:t>
            </w:r>
          </w:p>
        </w:tc>
        <w:tc>
          <w:tcPr>
            <w:tcW w:w="1276" w:type="dxa"/>
          </w:tcPr>
          <w:p w14:paraId="76B30B6E" w14:textId="70CAB28A" w:rsidR="00FD614C" w:rsidRPr="00950291" w:rsidRDefault="00FD614C" w:rsidP="00873027">
            <w:pPr>
              <w:rPr>
                <w:b/>
                <w:bCs/>
              </w:rPr>
            </w:pPr>
            <w:r w:rsidRPr="00950291">
              <w:rPr>
                <w:b/>
                <w:bCs/>
              </w:rPr>
              <w:t>Beløp</w:t>
            </w:r>
          </w:p>
        </w:tc>
      </w:tr>
      <w:tr w:rsidR="00FD614C" w14:paraId="7A2E7B71" w14:textId="77777777" w:rsidTr="00164C7D">
        <w:tc>
          <w:tcPr>
            <w:tcW w:w="7508" w:type="dxa"/>
          </w:tcPr>
          <w:p w14:paraId="079922EB" w14:textId="4E46A8DC" w:rsidR="00FD614C" w:rsidRDefault="0085613A" w:rsidP="00B95E99">
            <w:pPr>
              <w:pStyle w:val="Listeavsnitt"/>
              <w:numPr>
                <w:ilvl w:val="0"/>
                <w:numId w:val="9"/>
              </w:numPr>
            </w:pPr>
            <w:r>
              <w:t xml:space="preserve">Merforbruk </w:t>
            </w:r>
            <w:r w:rsidR="00950291">
              <w:t>pr. 31.12.2019</w:t>
            </w:r>
            <w:r w:rsidR="00C13AAC">
              <w:t xml:space="preserve"> </w:t>
            </w:r>
            <w:r w:rsidR="006F6BC6">
              <w:t>(</w:t>
            </w:r>
            <w:proofErr w:type="spellStart"/>
            <w:r w:rsidR="006F6BC6">
              <w:t>etterkalkyle</w:t>
            </w:r>
            <w:proofErr w:type="spellEnd"/>
            <w:r w:rsidR="006F6BC6">
              <w:t xml:space="preserve"> selvkostregnskap)</w:t>
            </w:r>
          </w:p>
        </w:tc>
        <w:tc>
          <w:tcPr>
            <w:tcW w:w="1276" w:type="dxa"/>
          </w:tcPr>
          <w:p w14:paraId="18DD3B09" w14:textId="5AE6390C" w:rsidR="00FD614C" w:rsidRDefault="00DE7E12" w:rsidP="00255467">
            <w:pPr>
              <w:jc w:val="right"/>
            </w:pPr>
            <w:r>
              <w:t>-</w:t>
            </w:r>
            <w:r w:rsidR="000067D4">
              <w:t>229</w:t>
            </w:r>
            <w:r w:rsidR="00C13AAC">
              <w:t>5332</w:t>
            </w:r>
          </w:p>
        </w:tc>
      </w:tr>
      <w:tr w:rsidR="00FD614C" w14:paraId="43A5DB0D" w14:textId="77777777" w:rsidTr="00164C7D">
        <w:tc>
          <w:tcPr>
            <w:tcW w:w="7508" w:type="dxa"/>
          </w:tcPr>
          <w:p w14:paraId="07CCB996" w14:textId="01E37137" w:rsidR="00FD614C" w:rsidRDefault="00EC28F1" w:rsidP="00B95E99">
            <w:pPr>
              <w:pStyle w:val="Listeavsnitt"/>
              <w:numPr>
                <w:ilvl w:val="0"/>
                <w:numId w:val="9"/>
              </w:numPr>
            </w:pPr>
            <w:r>
              <w:t>Inntek</w:t>
            </w:r>
            <w:r w:rsidR="00613213">
              <w:t>ts</w:t>
            </w:r>
            <w:r>
              <w:t>krav</w:t>
            </w:r>
            <w:r w:rsidR="00613213">
              <w:t xml:space="preserve"> 2020</w:t>
            </w:r>
          </w:p>
        </w:tc>
        <w:tc>
          <w:tcPr>
            <w:tcW w:w="1276" w:type="dxa"/>
          </w:tcPr>
          <w:p w14:paraId="53F86331" w14:textId="411F1016" w:rsidR="00FD614C" w:rsidRDefault="00691DAD" w:rsidP="00255467">
            <w:pPr>
              <w:jc w:val="right"/>
            </w:pPr>
            <w:r>
              <w:t>-</w:t>
            </w:r>
            <w:r w:rsidR="009816CF">
              <w:t>59</w:t>
            </w:r>
            <w:r w:rsidR="00745F7E">
              <w:t>5</w:t>
            </w:r>
            <w:r w:rsidR="009816CF">
              <w:t>0000</w:t>
            </w:r>
          </w:p>
        </w:tc>
      </w:tr>
      <w:tr w:rsidR="00FD614C" w14:paraId="0A10F3CA" w14:textId="77777777" w:rsidTr="00164C7D">
        <w:tc>
          <w:tcPr>
            <w:tcW w:w="7508" w:type="dxa"/>
          </w:tcPr>
          <w:p w14:paraId="4CD16946" w14:textId="7690AE75" w:rsidR="00FD614C" w:rsidRDefault="006371F7" w:rsidP="00B95E99">
            <w:pPr>
              <w:pStyle w:val="Listeavsnitt"/>
              <w:numPr>
                <w:ilvl w:val="0"/>
                <w:numId w:val="9"/>
              </w:numPr>
            </w:pPr>
            <w:r>
              <w:t>I</w:t>
            </w:r>
            <w:r w:rsidR="008455A1">
              <w:t>nntek</w:t>
            </w:r>
            <w:r w:rsidR="009D277A">
              <w:t>t</w:t>
            </w:r>
            <w:r>
              <w:t>er</w:t>
            </w:r>
            <w:r w:rsidR="000B450F">
              <w:t xml:space="preserve"> i 2020 </w:t>
            </w:r>
            <w:r w:rsidR="00905152">
              <w:t xml:space="preserve">uten ekstra </w:t>
            </w:r>
            <w:proofErr w:type="spellStart"/>
            <w:r w:rsidR="00905152">
              <w:t>gebyrøkning</w:t>
            </w:r>
            <w:proofErr w:type="spellEnd"/>
            <w:r>
              <w:t xml:space="preserve"> (estimat)</w:t>
            </w:r>
          </w:p>
        </w:tc>
        <w:tc>
          <w:tcPr>
            <w:tcW w:w="1276" w:type="dxa"/>
          </w:tcPr>
          <w:p w14:paraId="18C07D52" w14:textId="02F836B1" w:rsidR="00FD614C" w:rsidRDefault="008D6684" w:rsidP="00255467">
            <w:pPr>
              <w:jc w:val="right"/>
            </w:pPr>
            <w:r>
              <w:t>5300000</w:t>
            </w:r>
          </w:p>
        </w:tc>
      </w:tr>
      <w:tr w:rsidR="00FD614C" w14:paraId="594663BA" w14:textId="77777777" w:rsidTr="00164C7D">
        <w:tc>
          <w:tcPr>
            <w:tcW w:w="7508" w:type="dxa"/>
          </w:tcPr>
          <w:p w14:paraId="47654D58" w14:textId="26D7EF52" w:rsidR="00FD614C" w:rsidRDefault="00F735F6" w:rsidP="00B95E99">
            <w:pPr>
              <w:pStyle w:val="Listeavsnitt"/>
              <w:numPr>
                <w:ilvl w:val="0"/>
                <w:numId w:val="9"/>
              </w:numPr>
            </w:pPr>
            <w:r>
              <w:t xml:space="preserve">Ekstra </w:t>
            </w:r>
            <w:r w:rsidR="00985094">
              <w:t xml:space="preserve">gebyrinntekt </w:t>
            </w:r>
            <w:r w:rsidR="00BF445B">
              <w:t xml:space="preserve">i 2020 </w:t>
            </w:r>
            <w:r w:rsidR="00985094">
              <w:t xml:space="preserve">ved </w:t>
            </w:r>
            <w:r w:rsidR="00BF445B" w:rsidRPr="006F2584">
              <w:t>1</w:t>
            </w:r>
            <w:r w:rsidR="00745F7E" w:rsidRPr="006F2584">
              <w:t>5</w:t>
            </w:r>
            <w:r w:rsidR="00BF445B" w:rsidRPr="006F2584">
              <w:t>%</w:t>
            </w:r>
            <w:r w:rsidR="00BF445B">
              <w:t xml:space="preserve"> justering av satsene</w:t>
            </w:r>
            <w:r w:rsidR="006371F7">
              <w:t xml:space="preserve"> (estimat)</w:t>
            </w:r>
          </w:p>
        </w:tc>
        <w:tc>
          <w:tcPr>
            <w:tcW w:w="1276" w:type="dxa"/>
          </w:tcPr>
          <w:p w14:paraId="14551551" w14:textId="72F110E9" w:rsidR="00FD614C" w:rsidRDefault="003C79C5" w:rsidP="00255467">
            <w:pPr>
              <w:jc w:val="right"/>
            </w:pPr>
            <w:r>
              <w:t>400000</w:t>
            </w:r>
          </w:p>
        </w:tc>
      </w:tr>
      <w:tr w:rsidR="00FD614C" w14:paraId="6CC2326E" w14:textId="77777777" w:rsidTr="00164C7D">
        <w:tc>
          <w:tcPr>
            <w:tcW w:w="7508" w:type="dxa"/>
          </w:tcPr>
          <w:p w14:paraId="7C6CAED5" w14:textId="10865CF8" w:rsidR="00FD614C" w:rsidRDefault="002D147C" w:rsidP="00B95E99">
            <w:pPr>
              <w:pStyle w:val="Listeavsnitt"/>
              <w:numPr>
                <w:ilvl w:val="0"/>
                <w:numId w:val="9"/>
              </w:numPr>
            </w:pPr>
            <w:r>
              <w:t>Innsparingstiltak i omstillingsprosjekt (estimat)</w:t>
            </w:r>
          </w:p>
        </w:tc>
        <w:tc>
          <w:tcPr>
            <w:tcW w:w="1276" w:type="dxa"/>
          </w:tcPr>
          <w:p w14:paraId="707C2088" w14:textId="59AEEC07" w:rsidR="00FD614C" w:rsidRDefault="00202F59" w:rsidP="00255467">
            <w:pPr>
              <w:jc w:val="right"/>
            </w:pPr>
            <w:r>
              <w:t>150</w:t>
            </w:r>
            <w:r w:rsidR="0038010F">
              <w:t>000</w:t>
            </w:r>
          </w:p>
        </w:tc>
      </w:tr>
      <w:tr w:rsidR="00FD614C" w14:paraId="02E13123" w14:textId="77777777" w:rsidTr="00164C7D">
        <w:tc>
          <w:tcPr>
            <w:tcW w:w="7508" w:type="dxa"/>
          </w:tcPr>
          <w:p w14:paraId="71159F44" w14:textId="4B97CCBE" w:rsidR="00FD614C" w:rsidRPr="00164C7D" w:rsidRDefault="001F1CB9" w:rsidP="00164C7D">
            <w:pPr>
              <w:pStyle w:val="Listeavsnitt"/>
              <w:numPr>
                <w:ilvl w:val="0"/>
                <w:numId w:val="9"/>
              </w:numPr>
              <w:rPr>
                <w:b/>
                <w:bCs/>
              </w:rPr>
            </w:pPr>
            <w:r w:rsidRPr="00164C7D">
              <w:rPr>
                <w:b/>
                <w:bCs/>
              </w:rPr>
              <w:t>Sum</w:t>
            </w:r>
            <w:r w:rsidR="00EA378C" w:rsidRPr="00164C7D">
              <w:rPr>
                <w:b/>
                <w:bCs/>
              </w:rPr>
              <w:t xml:space="preserve"> (</w:t>
            </w:r>
            <w:r w:rsidR="006371F7">
              <w:rPr>
                <w:b/>
                <w:bCs/>
              </w:rPr>
              <w:t xml:space="preserve">estimert </w:t>
            </w:r>
            <w:r w:rsidR="009D3060" w:rsidRPr="00164C7D">
              <w:rPr>
                <w:b/>
                <w:bCs/>
              </w:rPr>
              <w:t xml:space="preserve">ikke </w:t>
            </w:r>
            <w:proofErr w:type="spellStart"/>
            <w:r w:rsidR="009D3060" w:rsidRPr="00164C7D">
              <w:rPr>
                <w:b/>
                <w:bCs/>
              </w:rPr>
              <w:t>fremførtbart</w:t>
            </w:r>
            <w:proofErr w:type="spellEnd"/>
            <w:r w:rsidR="009D3060" w:rsidRPr="00164C7D">
              <w:rPr>
                <w:b/>
                <w:bCs/>
              </w:rPr>
              <w:t xml:space="preserve"> underskudd i selvkostregnskapet pr. </w:t>
            </w:r>
            <w:r w:rsidR="00640579" w:rsidRPr="00164C7D">
              <w:rPr>
                <w:b/>
                <w:bCs/>
              </w:rPr>
              <w:t>31.12.2020</w:t>
            </w:r>
            <w:r w:rsidR="008E3982" w:rsidRPr="00164C7D">
              <w:rPr>
                <w:b/>
                <w:bCs/>
              </w:rPr>
              <w:t>):</w:t>
            </w:r>
          </w:p>
        </w:tc>
        <w:tc>
          <w:tcPr>
            <w:tcW w:w="1276" w:type="dxa"/>
          </w:tcPr>
          <w:p w14:paraId="658BF6E7" w14:textId="5954F977" w:rsidR="00FD614C" w:rsidRPr="00B95E99" w:rsidRDefault="003277FE" w:rsidP="00255467">
            <w:pPr>
              <w:jc w:val="right"/>
              <w:rPr>
                <w:b/>
                <w:bCs/>
              </w:rPr>
            </w:pPr>
            <w:r w:rsidRPr="00B95E99">
              <w:rPr>
                <w:b/>
                <w:bCs/>
              </w:rPr>
              <w:fldChar w:fldCharType="begin"/>
            </w:r>
            <w:r w:rsidRPr="00B95E99">
              <w:rPr>
                <w:b/>
                <w:bCs/>
              </w:rPr>
              <w:instrText xml:space="preserve"> =SUM(ABOVE) </w:instrText>
            </w:r>
            <w:r w:rsidRPr="00B95E99">
              <w:rPr>
                <w:b/>
                <w:bCs/>
              </w:rPr>
              <w:fldChar w:fldCharType="separate"/>
            </w:r>
            <w:r w:rsidRPr="00B95E99">
              <w:rPr>
                <w:b/>
                <w:bCs/>
                <w:noProof/>
              </w:rPr>
              <w:t>-2</w:t>
            </w:r>
            <w:r w:rsidR="00DE35B9">
              <w:rPr>
                <w:b/>
                <w:bCs/>
                <w:noProof/>
              </w:rPr>
              <w:t>395</w:t>
            </w:r>
            <w:r w:rsidRPr="00B95E99">
              <w:rPr>
                <w:b/>
                <w:bCs/>
                <w:noProof/>
              </w:rPr>
              <w:t>332</w:t>
            </w:r>
            <w:r w:rsidRPr="00B95E99">
              <w:rPr>
                <w:b/>
                <w:bCs/>
              </w:rPr>
              <w:fldChar w:fldCharType="end"/>
            </w:r>
          </w:p>
        </w:tc>
      </w:tr>
    </w:tbl>
    <w:p w14:paraId="49B33886" w14:textId="35D6CD79" w:rsidR="00400EF9" w:rsidRDefault="00FD614C" w:rsidP="00FD614C">
      <w:pPr>
        <w:pStyle w:val="Bildetekst"/>
      </w:pPr>
      <w:r>
        <w:t xml:space="preserve">Figur </w:t>
      </w:r>
      <w:r>
        <w:fldChar w:fldCharType="begin"/>
      </w:r>
      <w:r>
        <w:instrText>SEQ Figur \* ARABIC</w:instrText>
      </w:r>
      <w:r>
        <w:fldChar w:fldCharType="separate"/>
      </w:r>
      <w:r>
        <w:rPr>
          <w:noProof/>
        </w:rPr>
        <w:t>6</w:t>
      </w:r>
      <w:r>
        <w:fldChar w:fldCharType="end"/>
      </w:r>
    </w:p>
    <w:p w14:paraId="6C2AE2C5" w14:textId="773BF8FC" w:rsidR="002603CB" w:rsidRDefault="00F23F24" w:rsidP="00873027">
      <w:r>
        <w:t>Refleksjon</w:t>
      </w:r>
      <w:r w:rsidR="00356327">
        <w:t xml:space="preserve">: </w:t>
      </w:r>
      <w:r w:rsidR="00B84036">
        <w:t>Punkt 1</w:t>
      </w:r>
      <w:r w:rsidR="00E53013">
        <w:t xml:space="preserve"> var inntil i år et fremførbart under</w:t>
      </w:r>
      <w:r w:rsidR="007F213F">
        <w:t xml:space="preserve">skudd som vi </w:t>
      </w:r>
      <w:r w:rsidR="00F26082">
        <w:t xml:space="preserve">normalt </w:t>
      </w:r>
      <w:r w:rsidR="000779BA">
        <w:t xml:space="preserve">etter selvkostreglene </w:t>
      </w:r>
      <w:r w:rsidR="00574B43">
        <w:t xml:space="preserve">kunne </w:t>
      </w:r>
      <w:r w:rsidR="000779BA">
        <w:t>bruke</w:t>
      </w:r>
      <w:r w:rsidR="00574B43">
        <w:t xml:space="preserve"> en del år på å justere inn for å komme i balanse. </w:t>
      </w:r>
      <w:r w:rsidR="008C735D">
        <w:t>Etter</w:t>
      </w:r>
      <w:r w:rsidR="00994B93">
        <w:t xml:space="preserve"> at</w:t>
      </w:r>
      <w:r w:rsidR="008C735D">
        <w:t xml:space="preserve"> nye forskriftsregler</w:t>
      </w:r>
      <w:r w:rsidR="00F26082">
        <w:t xml:space="preserve"> kom </w:t>
      </w:r>
      <w:r w:rsidR="00EE4DB8">
        <w:t>i år,</w:t>
      </w:r>
      <w:r w:rsidR="008C735D">
        <w:t xml:space="preserve"> har vi </w:t>
      </w:r>
      <w:r w:rsidR="0021770D">
        <w:t xml:space="preserve">ved kommende årsskifte </w:t>
      </w:r>
      <w:r w:rsidR="00A645AE">
        <w:t>ikke denne muligheten lenger</w:t>
      </w:r>
      <w:r w:rsidR="002603CB">
        <w:t>.</w:t>
      </w:r>
    </w:p>
    <w:p w14:paraId="637402A5" w14:textId="452AC867" w:rsidR="00D27C1E" w:rsidRDefault="00733E72" w:rsidP="00873027">
      <w:r>
        <w:t xml:space="preserve">Punktene 3.-5. er </w:t>
      </w:r>
      <w:r w:rsidR="00EE4DB8">
        <w:t xml:space="preserve">noe </w:t>
      </w:r>
      <w:r>
        <w:t>usikre</w:t>
      </w:r>
      <w:r w:rsidR="003A1FE1">
        <w:t xml:space="preserve"> verdier</w:t>
      </w:r>
      <w:r w:rsidR="00E30E48">
        <w:t xml:space="preserve">. </w:t>
      </w:r>
      <w:r w:rsidR="00091728">
        <w:t>Dersom aktiviteten i markedet øker en del</w:t>
      </w:r>
      <w:r w:rsidR="002A3A10">
        <w:t xml:space="preserve">, vil </w:t>
      </w:r>
      <w:r w:rsidR="002603CB">
        <w:t>underskuddet</w:t>
      </w:r>
      <w:r w:rsidR="00A126F5">
        <w:t xml:space="preserve"> vi ikke kan fremføre</w:t>
      </w:r>
      <w:r w:rsidR="00C37E52">
        <w:t>, bli mindre</w:t>
      </w:r>
      <w:r w:rsidR="007F0690">
        <w:t xml:space="preserve">. </w:t>
      </w:r>
      <w:r w:rsidR="00405D86">
        <w:t>Dersom aktiviteten total</w:t>
      </w:r>
      <w:r w:rsidR="006B5756">
        <w:t>t</w:t>
      </w:r>
      <w:r w:rsidR="00405D86">
        <w:t xml:space="preserve"> over hele året går ned</w:t>
      </w:r>
      <w:r w:rsidR="00AE6248">
        <w:t>, f.eks. grunnet Covid-19</w:t>
      </w:r>
      <w:r w:rsidR="00802E7B">
        <w:t>-utbruddet i Norge</w:t>
      </w:r>
      <w:r w:rsidR="00CB4335">
        <w:t xml:space="preserve">, vil </w:t>
      </w:r>
      <w:r w:rsidR="00480E07">
        <w:t xml:space="preserve">underskuddet bli </w:t>
      </w:r>
      <w:r w:rsidR="006B5756">
        <w:t>større enn vist i tabellen.</w:t>
      </w:r>
    </w:p>
    <w:p w14:paraId="1556F708" w14:textId="565044E8" w:rsidR="00900EA0" w:rsidRDefault="00B526BD" w:rsidP="00873027">
      <w:r>
        <w:t>Siden</w:t>
      </w:r>
      <w:r w:rsidR="00950AB8">
        <w:t xml:space="preserve"> dette</w:t>
      </w:r>
      <w:r w:rsidR="004E63C0">
        <w:t xml:space="preserve"> er en selvkost-tjeneste, er det naturlig å legge seg på et gebyrnivå som </w:t>
      </w:r>
      <w:r w:rsidR="00573DF2">
        <w:t>er i balanse med utgiftene</w:t>
      </w:r>
      <w:r>
        <w:t>.</w:t>
      </w:r>
    </w:p>
    <w:p w14:paraId="48C4DA34" w14:textId="42F3D023" w:rsidR="00D27C1E" w:rsidRDefault="00D27C1E" w:rsidP="00873027"/>
    <w:p w14:paraId="4297F369" w14:textId="6C9B2A12" w:rsidR="00D27C1E" w:rsidRPr="003C228D" w:rsidRDefault="006B5756" w:rsidP="006B5756">
      <w:pPr>
        <w:pStyle w:val="Overskrift1"/>
        <w:rPr>
          <w:b/>
          <w:bCs/>
        </w:rPr>
      </w:pPr>
      <w:r w:rsidRPr="003C228D">
        <w:rPr>
          <w:b/>
          <w:bCs/>
        </w:rPr>
        <w:t>Forslag til vedtak</w:t>
      </w:r>
    </w:p>
    <w:p w14:paraId="08B77469" w14:textId="77777777" w:rsidR="00EF0981" w:rsidRDefault="00EF0981" w:rsidP="00EF0981"/>
    <w:p w14:paraId="0272ADF8" w14:textId="06C1C238" w:rsidR="00EF0981" w:rsidRPr="00CE01D5" w:rsidRDefault="0112D98E" w:rsidP="772BC898">
      <w:r>
        <w:t xml:space="preserve">Gebyrsatsene for arbeid etter matrikkelloven justeres med </w:t>
      </w:r>
      <w:r w:rsidRPr="00441260">
        <w:t>15</w:t>
      </w:r>
      <w:r w:rsidR="00AE0D2F" w:rsidRPr="00441260">
        <w:t xml:space="preserve"> prosent</w:t>
      </w:r>
      <w:r>
        <w:t xml:space="preserve"> med virkning fra 1.</w:t>
      </w:r>
      <w:r w:rsidR="00AE0D2F">
        <w:t xml:space="preserve"> juni </w:t>
      </w:r>
      <w:r>
        <w:t>2020, slik</w:t>
      </w:r>
      <w:r w:rsidR="0055713D">
        <w:t xml:space="preserve"> at gebyr</w:t>
      </w:r>
      <w:r w:rsidR="00257D49">
        <w:t xml:space="preserve">satsene og inntekt </w:t>
      </w:r>
      <w:r w:rsidR="007E3EF6">
        <w:t>harmonere</w:t>
      </w:r>
      <w:r w:rsidR="66683D4E">
        <w:t>r</w:t>
      </w:r>
      <w:r w:rsidR="00D07E63">
        <w:t xml:space="preserve"> med driftsutgiftene</w:t>
      </w:r>
      <w:r w:rsidR="00A33C16">
        <w:t xml:space="preserve"> inne</w:t>
      </w:r>
      <w:r w:rsidR="00691165">
        <w:t>n</w:t>
      </w:r>
      <w:r w:rsidR="00A33C16">
        <w:t xml:space="preserve"> området</w:t>
      </w:r>
      <w:r w:rsidR="00691165">
        <w:t>.</w:t>
      </w:r>
    </w:p>
    <w:p w14:paraId="5B584F36" w14:textId="22EFBDC4" w:rsidR="00CE01D5" w:rsidRDefault="00184D5D" w:rsidP="00CE01D5">
      <w:r>
        <w:t>Med henvisning til</w:t>
      </w:r>
      <w:r w:rsidR="00487F0E">
        <w:t xml:space="preserve"> nye regler i forskrift for selvkost</w:t>
      </w:r>
      <w:r w:rsidR="00273908">
        <w:t xml:space="preserve"> gjelden</w:t>
      </w:r>
      <w:r w:rsidR="00F70DC0">
        <w:t>d</w:t>
      </w:r>
      <w:r w:rsidR="00273908">
        <w:t>e fra 1.</w:t>
      </w:r>
      <w:r w:rsidR="00AE0D2F">
        <w:t xml:space="preserve"> januar </w:t>
      </w:r>
      <w:r w:rsidR="00273908">
        <w:t>2020</w:t>
      </w:r>
      <w:r w:rsidR="004F6B2C">
        <w:t>,</w:t>
      </w:r>
      <w:r w:rsidR="00F70DC0">
        <w:t xml:space="preserve"> </w:t>
      </w:r>
      <w:r w:rsidR="00A20FB2">
        <w:t xml:space="preserve">vil </w:t>
      </w:r>
      <w:r w:rsidR="00EE6FB4">
        <w:t>underskudd</w:t>
      </w:r>
      <w:r w:rsidR="00E760E8">
        <w:t xml:space="preserve"> innen selvkost ansvar 4150 tjene</w:t>
      </w:r>
      <w:r w:rsidR="00AE22DF">
        <w:t>ste 3000</w:t>
      </w:r>
      <w:r w:rsidR="006A7205">
        <w:t xml:space="preserve"> ikke kunne fremføres</w:t>
      </w:r>
      <w:r w:rsidR="0021736D">
        <w:t xml:space="preserve"> og må</w:t>
      </w:r>
      <w:r w:rsidR="00A20FB2">
        <w:t xml:space="preserve"> dekke</w:t>
      </w:r>
      <w:r w:rsidR="0021736D">
        <w:t>s</w:t>
      </w:r>
      <w:r w:rsidR="00A20FB2">
        <w:t xml:space="preserve"> inn</w:t>
      </w:r>
      <w:r w:rsidR="007319D4">
        <w:t xml:space="preserve"> av </w:t>
      </w:r>
      <w:r w:rsidR="007D0E0C">
        <w:t xml:space="preserve">bykassen. </w:t>
      </w:r>
      <w:r w:rsidR="00476274">
        <w:t>Estimert b</w:t>
      </w:r>
      <w:r w:rsidR="001B68E3">
        <w:t>eløpet som må dekkes inn</w:t>
      </w:r>
      <w:r w:rsidR="00CD10D0">
        <w:t xml:space="preserve"> (</w:t>
      </w:r>
      <w:r w:rsidR="00476274">
        <w:t>se pkt. 6 i tabell 6)</w:t>
      </w:r>
      <w:r w:rsidR="0094346B">
        <w:t xml:space="preserve">, vil </w:t>
      </w:r>
      <w:r w:rsidR="00476274">
        <w:t xml:space="preserve">kunne </w:t>
      </w:r>
      <w:r w:rsidR="00FC5259">
        <w:t>beregnes</w:t>
      </w:r>
      <w:r w:rsidR="00476274">
        <w:t xml:space="preserve"> mer eksakt</w:t>
      </w:r>
      <w:r w:rsidR="00EB4F0C">
        <w:t xml:space="preserve"> og freml</w:t>
      </w:r>
      <w:r w:rsidR="006569F5">
        <w:t>egges for kommunestyret høsten 2020</w:t>
      </w:r>
      <w:r w:rsidR="00646066">
        <w:t>.</w:t>
      </w:r>
    </w:p>
    <w:p w14:paraId="75BE145B" w14:textId="77777777" w:rsidR="00D27C1E" w:rsidRDefault="00D27C1E" w:rsidP="00873027"/>
    <w:p w14:paraId="4C0FB01D" w14:textId="77777777" w:rsidR="00F42B3D" w:rsidRDefault="00F42B3D" w:rsidP="00873027">
      <w:pPr>
        <w:pStyle w:val="Overskrift1"/>
        <w:rPr>
          <w:lang w:eastAsia="nb-NO"/>
        </w:rPr>
      </w:pPr>
    </w:p>
    <w:p w14:paraId="1CEA78D3" w14:textId="77777777" w:rsidR="00F42B3D" w:rsidRDefault="00F42B3D" w:rsidP="00873027">
      <w:pPr>
        <w:pStyle w:val="Overskrift1"/>
        <w:rPr>
          <w:lang w:eastAsia="nb-NO"/>
        </w:rPr>
      </w:pPr>
    </w:p>
    <w:sectPr w:rsidR="00F42B3D" w:rsidSect="003C228D">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312A7" w14:textId="77777777" w:rsidR="00737C24" w:rsidRDefault="00737C24" w:rsidP="001242EC">
      <w:r>
        <w:separator/>
      </w:r>
    </w:p>
  </w:endnote>
  <w:endnote w:type="continuationSeparator" w:id="0">
    <w:p w14:paraId="45067B0A" w14:textId="77777777" w:rsidR="00737C24" w:rsidRDefault="00737C24" w:rsidP="001242EC">
      <w:r>
        <w:continuationSeparator/>
      </w:r>
    </w:p>
  </w:endnote>
  <w:endnote w:type="continuationNotice" w:id="1">
    <w:p w14:paraId="4FEF8173" w14:textId="77777777" w:rsidR="00737C24" w:rsidRDefault="00737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583E8" w14:textId="77777777" w:rsidR="00737C24" w:rsidRDefault="00737C24" w:rsidP="001242EC">
      <w:r>
        <w:separator/>
      </w:r>
    </w:p>
  </w:footnote>
  <w:footnote w:type="continuationSeparator" w:id="0">
    <w:p w14:paraId="2CBA60BF" w14:textId="77777777" w:rsidR="00737C24" w:rsidRDefault="00737C24" w:rsidP="001242EC">
      <w:r>
        <w:continuationSeparator/>
      </w:r>
    </w:p>
  </w:footnote>
  <w:footnote w:type="continuationNotice" w:id="1">
    <w:p w14:paraId="7543FAEA" w14:textId="77777777" w:rsidR="00737C24" w:rsidRDefault="00737C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30137"/>
    <w:multiLevelType w:val="hybridMultilevel"/>
    <w:tmpl w:val="AB1E1C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32299C"/>
    <w:multiLevelType w:val="multilevel"/>
    <w:tmpl w:val="230838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B1C7E"/>
    <w:multiLevelType w:val="multilevel"/>
    <w:tmpl w:val="9182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E4C16"/>
    <w:multiLevelType w:val="hybridMultilevel"/>
    <w:tmpl w:val="3D9E67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573A4F"/>
    <w:multiLevelType w:val="hybridMultilevel"/>
    <w:tmpl w:val="6DCA5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FEA6E45"/>
    <w:multiLevelType w:val="multilevel"/>
    <w:tmpl w:val="5A725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D6481C"/>
    <w:multiLevelType w:val="hybridMultilevel"/>
    <w:tmpl w:val="7408BB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B4C1EDE"/>
    <w:multiLevelType w:val="hybridMultilevel"/>
    <w:tmpl w:val="6DCE036E"/>
    <w:lvl w:ilvl="0" w:tplc="0414000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4C702AC"/>
    <w:multiLevelType w:val="hybridMultilevel"/>
    <w:tmpl w:val="274883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C4"/>
    <w:rsid w:val="00005869"/>
    <w:rsid w:val="000067D4"/>
    <w:rsid w:val="0001182C"/>
    <w:rsid w:val="00014C18"/>
    <w:rsid w:val="00017D78"/>
    <w:rsid w:val="000277C6"/>
    <w:rsid w:val="0003249D"/>
    <w:rsid w:val="00032586"/>
    <w:rsid w:val="000328B3"/>
    <w:rsid w:val="00036F79"/>
    <w:rsid w:val="00037FFD"/>
    <w:rsid w:val="00044DB1"/>
    <w:rsid w:val="00046940"/>
    <w:rsid w:val="00050474"/>
    <w:rsid w:val="00055F98"/>
    <w:rsid w:val="000625C2"/>
    <w:rsid w:val="000779BA"/>
    <w:rsid w:val="00083EC3"/>
    <w:rsid w:val="00091728"/>
    <w:rsid w:val="00091908"/>
    <w:rsid w:val="00095077"/>
    <w:rsid w:val="000A2E37"/>
    <w:rsid w:val="000A465F"/>
    <w:rsid w:val="000A520A"/>
    <w:rsid w:val="000A59DF"/>
    <w:rsid w:val="000B450F"/>
    <w:rsid w:val="000B49CA"/>
    <w:rsid w:val="000C09AF"/>
    <w:rsid w:val="000C0A6B"/>
    <w:rsid w:val="000C0D5F"/>
    <w:rsid w:val="000C6A12"/>
    <w:rsid w:val="000F1ADD"/>
    <w:rsid w:val="0010317D"/>
    <w:rsid w:val="00104001"/>
    <w:rsid w:val="00104C2F"/>
    <w:rsid w:val="00114982"/>
    <w:rsid w:val="00120019"/>
    <w:rsid w:val="00123220"/>
    <w:rsid w:val="001242EC"/>
    <w:rsid w:val="001243A8"/>
    <w:rsid w:val="00137BED"/>
    <w:rsid w:val="00141E89"/>
    <w:rsid w:val="00142395"/>
    <w:rsid w:val="0014369B"/>
    <w:rsid w:val="00144359"/>
    <w:rsid w:val="001608FF"/>
    <w:rsid w:val="001611F8"/>
    <w:rsid w:val="00162E0C"/>
    <w:rsid w:val="00164C7D"/>
    <w:rsid w:val="00184D5D"/>
    <w:rsid w:val="001865BB"/>
    <w:rsid w:val="001912BB"/>
    <w:rsid w:val="00194740"/>
    <w:rsid w:val="001A7073"/>
    <w:rsid w:val="001B68E3"/>
    <w:rsid w:val="001B6F25"/>
    <w:rsid w:val="001D7B91"/>
    <w:rsid w:val="001D7EA3"/>
    <w:rsid w:val="001E0BC4"/>
    <w:rsid w:val="001E5758"/>
    <w:rsid w:val="001F1B0B"/>
    <w:rsid w:val="001F1CB9"/>
    <w:rsid w:val="001F1F6E"/>
    <w:rsid w:val="001F3F27"/>
    <w:rsid w:val="001F4C83"/>
    <w:rsid w:val="001F5869"/>
    <w:rsid w:val="001F61C1"/>
    <w:rsid w:val="001F6A92"/>
    <w:rsid w:val="00202F59"/>
    <w:rsid w:val="002039E1"/>
    <w:rsid w:val="0021736D"/>
    <w:rsid w:val="00217689"/>
    <w:rsid w:val="0021770D"/>
    <w:rsid w:val="00217A3F"/>
    <w:rsid w:val="00221B90"/>
    <w:rsid w:val="00223509"/>
    <w:rsid w:val="00231167"/>
    <w:rsid w:val="00237313"/>
    <w:rsid w:val="0024348F"/>
    <w:rsid w:val="00244DFD"/>
    <w:rsid w:val="00245050"/>
    <w:rsid w:val="00255467"/>
    <w:rsid w:val="0025601A"/>
    <w:rsid w:val="00257D49"/>
    <w:rsid w:val="002603CB"/>
    <w:rsid w:val="00263E35"/>
    <w:rsid w:val="00267160"/>
    <w:rsid w:val="002718B6"/>
    <w:rsid w:val="00273367"/>
    <w:rsid w:val="00273908"/>
    <w:rsid w:val="00276AB5"/>
    <w:rsid w:val="0029558F"/>
    <w:rsid w:val="00296D20"/>
    <w:rsid w:val="002A07DF"/>
    <w:rsid w:val="002A1ADF"/>
    <w:rsid w:val="002A3A10"/>
    <w:rsid w:val="002B6439"/>
    <w:rsid w:val="002B69C9"/>
    <w:rsid w:val="002B6D81"/>
    <w:rsid w:val="002B717F"/>
    <w:rsid w:val="002C58DA"/>
    <w:rsid w:val="002C74A4"/>
    <w:rsid w:val="002D147C"/>
    <w:rsid w:val="002D2329"/>
    <w:rsid w:val="002D46B2"/>
    <w:rsid w:val="002D57B6"/>
    <w:rsid w:val="002D646C"/>
    <w:rsid w:val="002E2C0D"/>
    <w:rsid w:val="002F0A48"/>
    <w:rsid w:val="002F14B0"/>
    <w:rsid w:val="002F3E33"/>
    <w:rsid w:val="00301049"/>
    <w:rsid w:val="0031296A"/>
    <w:rsid w:val="00316EF2"/>
    <w:rsid w:val="00324682"/>
    <w:rsid w:val="003277FE"/>
    <w:rsid w:val="0033396D"/>
    <w:rsid w:val="0033733B"/>
    <w:rsid w:val="003437A0"/>
    <w:rsid w:val="003514FF"/>
    <w:rsid w:val="00356327"/>
    <w:rsid w:val="00360FA8"/>
    <w:rsid w:val="003740B4"/>
    <w:rsid w:val="00375873"/>
    <w:rsid w:val="0038010F"/>
    <w:rsid w:val="003900FF"/>
    <w:rsid w:val="00394017"/>
    <w:rsid w:val="003A0191"/>
    <w:rsid w:val="003A1FE1"/>
    <w:rsid w:val="003A619B"/>
    <w:rsid w:val="003B35B8"/>
    <w:rsid w:val="003B623D"/>
    <w:rsid w:val="003C05FB"/>
    <w:rsid w:val="003C09C4"/>
    <w:rsid w:val="003C228D"/>
    <w:rsid w:val="003C2748"/>
    <w:rsid w:val="003C79C5"/>
    <w:rsid w:val="003E4723"/>
    <w:rsid w:val="003E6A9A"/>
    <w:rsid w:val="003E7A03"/>
    <w:rsid w:val="00400EF9"/>
    <w:rsid w:val="004025D6"/>
    <w:rsid w:val="00404030"/>
    <w:rsid w:val="00405D86"/>
    <w:rsid w:val="00413540"/>
    <w:rsid w:val="004179B6"/>
    <w:rsid w:val="0042550D"/>
    <w:rsid w:val="00426955"/>
    <w:rsid w:val="00426D56"/>
    <w:rsid w:val="00437C32"/>
    <w:rsid w:val="00437ED9"/>
    <w:rsid w:val="00440B9C"/>
    <w:rsid w:val="00441260"/>
    <w:rsid w:val="00447504"/>
    <w:rsid w:val="004556B8"/>
    <w:rsid w:val="00464F74"/>
    <w:rsid w:val="00471918"/>
    <w:rsid w:val="00476274"/>
    <w:rsid w:val="0047745A"/>
    <w:rsid w:val="00480E07"/>
    <w:rsid w:val="00482B1C"/>
    <w:rsid w:val="00487F0E"/>
    <w:rsid w:val="0049348E"/>
    <w:rsid w:val="00493DBB"/>
    <w:rsid w:val="004A0187"/>
    <w:rsid w:val="004A23EC"/>
    <w:rsid w:val="004A4866"/>
    <w:rsid w:val="004B0ACC"/>
    <w:rsid w:val="004C295D"/>
    <w:rsid w:val="004C3B1F"/>
    <w:rsid w:val="004D53ED"/>
    <w:rsid w:val="004E05F7"/>
    <w:rsid w:val="004E63C0"/>
    <w:rsid w:val="004F22F0"/>
    <w:rsid w:val="004F52D6"/>
    <w:rsid w:val="004F55AC"/>
    <w:rsid w:val="004F6B2C"/>
    <w:rsid w:val="00503F05"/>
    <w:rsid w:val="00506005"/>
    <w:rsid w:val="00514EC7"/>
    <w:rsid w:val="00516F75"/>
    <w:rsid w:val="00517151"/>
    <w:rsid w:val="005204AF"/>
    <w:rsid w:val="00525FC8"/>
    <w:rsid w:val="00532220"/>
    <w:rsid w:val="0053460E"/>
    <w:rsid w:val="005426AA"/>
    <w:rsid w:val="00545F7D"/>
    <w:rsid w:val="0055513B"/>
    <w:rsid w:val="0055713D"/>
    <w:rsid w:val="00560060"/>
    <w:rsid w:val="00566288"/>
    <w:rsid w:val="00567C60"/>
    <w:rsid w:val="00573DF2"/>
    <w:rsid w:val="00574B43"/>
    <w:rsid w:val="00577899"/>
    <w:rsid w:val="0058596E"/>
    <w:rsid w:val="00586541"/>
    <w:rsid w:val="005875BA"/>
    <w:rsid w:val="00590029"/>
    <w:rsid w:val="00594909"/>
    <w:rsid w:val="005A6E4A"/>
    <w:rsid w:val="005B00FF"/>
    <w:rsid w:val="005B01CB"/>
    <w:rsid w:val="005B374C"/>
    <w:rsid w:val="005C02C8"/>
    <w:rsid w:val="005C1D0C"/>
    <w:rsid w:val="005C6C1D"/>
    <w:rsid w:val="005D0BB5"/>
    <w:rsid w:val="005D3F48"/>
    <w:rsid w:val="005E03C0"/>
    <w:rsid w:val="005E20CF"/>
    <w:rsid w:val="005E23B9"/>
    <w:rsid w:val="005E3F7D"/>
    <w:rsid w:val="005E5496"/>
    <w:rsid w:val="005E5D14"/>
    <w:rsid w:val="005F4AE1"/>
    <w:rsid w:val="00613213"/>
    <w:rsid w:val="00622F2D"/>
    <w:rsid w:val="00624491"/>
    <w:rsid w:val="006257FC"/>
    <w:rsid w:val="006279B4"/>
    <w:rsid w:val="00630534"/>
    <w:rsid w:val="00633327"/>
    <w:rsid w:val="00633FEA"/>
    <w:rsid w:val="006371F7"/>
    <w:rsid w:val="00640579"/>
    <w:rsid w:val="00641D2F"/>
    <w:rsid w:val="00641E98"/>
    <w:rsid w:val="00642E58"/>
    <w:rsid w:val="00643FF8"/>
    <w:rsid w:val="00646066"/>
    <w:rsid w:val="00646945"/>
    <w:rsid w:val="006569F5"/>
    <w:rsid w:val="00662E4F"/>
    <w:rsid w:val="00675913"/>
    <w:rsid w:val="00675BCE"/>
    <w:rsid w:val="00683EB9"/>
    <w:rsid w:val="00691165"/>
    <w:rsid w:val="006916F5"/>
    <w:rsid w:val="00691DAD"/>
    <w:rsid w:val="00695776"/>
    <w:rsid w:val="0069616F"/>
    <w:rsid w:val="00696546"/>
    <w:rsid w:val="006A2544"/>
    <w:rsid w:val="006A5E3A"/>
    <w:rsid w:val="006A7205"/>
    <w:rsid w:val="006B42D5"/>
    <w:rsid w:val="006B5756"/>
    <w:rsid w:val="006B719D"/>
    <w:rsid w:val="006C6ED2"/>
    <w:rsid w:val="006D29B6"/>
    <w:rsid w:val="006E2B53"/>
    <w:rsid w:val="006E34C0"/>
    <w:rsid w:val="006E3FE6"/>
    <w:rsid w:val="006E4D34"/>
    <w:rsid w:val="006F226A"/>
    <w:rsid w:val="006F2584"/>
    <w:rsid w:val="006F4F4C"/>
    <w:rsid w:val="006F6BC6"/>
    <w:rsid w:val="00703A9D"/>
    <w:rsid w:val="0070627C"/>
    <w:rsid w:val="00715C9F"/>
    <w:rsid w:val="007273A3"/>
    <w:rsid w:val="00730C3D"/>
    <w:rsid w:val="007319D4"/>
    <w:rsid w:val="00733E72"/>
    <w:rsid w:val="0073652E"/>
    <w:rsid w:val="00737971"/>
    <w:rsid w:val="00737C24"/>
    <w:rsid w:val="00745F7E"/>
    <w:rsid w:val="007613DA"/>
    <w:rsid w:val="00765BA7"/>
    <w:rsid w:val="00771B8A"/>
    <w:rsid w:val="00777A2E"/>
    <w:rsid w:val="00783ECE"/>
    <w:rsid w:val="00790D2C"/>
    <w:rsid w:val="00791D74"/>
    <w:rsid w:val="0079413B"/>
    <w:rsid w:val="007954AB"/>
    <w:rsid w:val="007A3F2E"/>
    <w:rsid w:val="007A745B"/>
    <w:rsid w:val="007B077D"/>
    <w:rsid w:val="007C264B"/>
    <w:rsid w:val="007D0E0C"/>
    <w:rsid w:val="007D4188"/>
    <w:rsid w:val="007D7864"/>
    <w:rsid w:val="007E3EF6"/>
    <w:rsid w:val="007E46D7"/>
    <w:rsid w:val="007F0690"/>
    <w:rsid w:val="007F213F"/>
    <w:rsid w:val="007F3633"/>
    <w:rsid w:val="007F4E2F"/>
    <w:rsid w:val="007F6B3E"/>
    <w:rsid w:val="00802E7B"/>
    <w:rsid w:val="00803D92"/>
    <w:rsid w:val="00807778"/>
    <w:rsid w:val="008109F6"/>
    <w:rsid w:val="008207F7"/>
    <w:rsid w:val="008244BA"/>
    <w:rsid w:val="0082556C"/>
    <w:rsid w:val="00830040"/>
    <w:rsid w:val="008303B8"/>
    <w:rsid w:val="00831789"/>
    <w:rsid w:val="0083325F"/>
    <w:rsid w:val="008344E1"/>
    <w:rsid w:val="00840D58"/>
    <w:rsid w:val="008455A1"/>
    <w:rsid w:val="0084622F"/>
    <w:rsid w:val="00853800"/>
    <w:rsid w:val="00853B16"/>
    <w:rsid w:val="0085538F"/>
    <w:rsid w:val="0085613A"/>
    <w:rsid w:val="00863404"/>
    <w:rsid w:val="00865B1B"/>
    <w:rsid w:val="00873027"/>
    <w:rsid w:val="008742B8"/>
    <w:rsid w:val="0087448B"/>
    <w:rsid w:val="00876928"/>
    <w:rsid w:val="00881E43"/>
    <w:rsid w:val="008879A0"/>
    <w:rsid w:val="00887F8E"/>
    <w:rsid w:val="008938AB"/>
    <w:rsid w:val="00894AB8"/>
    <w:rsid w:val="008A7772"/>
    <w:rsid w:val="008B1D10"/>
    <w:rsid w:val="008B2FD0"/>
    <w:rsid w:val="008C0527"/>
    <w:rsid w:val="008C06D8"/>
    <w:rsid w:val="008C2DC7"/>
    <w:rsid w:val="008C68C1"/>
    <w:rsid w:val="008C72E1"/>
    <w:rsid w:val="008C735D"/>
    <w:rsid w:val="008D0594"/>
    <w:rsid w:val="008D17E6"/>
    <w:rsid w:val="008D1803"/>
    <w:rsid w:val="008D345A"/>
    <w:rsid w:val="008D489E"/>
    <w:rsid w:val="008D6684"/>
    <w:rsid w:val="008D6A55"/>
    <w:rsid w:val="008D72E1"/>
    <w:rsid w:val="008E1575"/>
    <w:rsid w:val="008E29A2"/>
    <w:rsid w:val="008E3982"/>
    <w:rsid w:val="008F6551"/>
    <w:rsid w:val="008F7603"/>
    <w:rsid w:val="008F7E90"/>
    <w:rsid w:val="00900EA0"/>
    <w:rsid w:val="00905152"/>
    <w:rsid w:val="00907623"/>
    <w:rsid w:val="00916CAC"/>
    <w:rsid w:val="009233D0"/>
    <w:rsid w:val="00935FEF"/>
    <w:rsid w:val="00937C01"/>
    <w:rsid w:val="00940E2D"/>
    <w:rsid w:val="0094346B"/>
    <w:rsid w:val="00950291"/>
    <w:rsid w:val="00950AB8"/>
    <w:rsid w:val="00951603"/>
    <w:rsid w:val="009566FA"/>
    <w:rsid w:val="00967E8C"/>
    <w:rsid w:val="00977391"/>
    <w:rsid w:val="009774F8"/>
    <w:rsid w:val="00977C9E"/>
    <w:rsid w:val="009816CF"/>
    <w:rsid w:val="00985094"/>
    <w:rsid w:val="00985E8E"/>
    <w:rsid w:val="009925A8"/>
    <w:rsid w:val="00993A68"/>
    <w:rsid w:val="00994B93"/>
    <w:rsid w:val="00995DBC"/>
    <w:rsid w:val="0099684F"/>
    <w:rsid w:val="009975B5"/>
    <w:rsid w:val="0099776A"/>
    <w:rsid w:val="009A1883"/>
    <w:rsid w:val="009A649F"/>
    <w:rsid w:val="009B0E2E"/>
    <w:rsid w:val="009D277A"/>
    <w:rsid w:val="009D3060"/>
    <w:rsid w:val="009D3D3E"/>
    <w:rsid w:val="009D6AAC"/>
    <w:rsid w:val="009D76BE"/>
    <w:rsid w:val="009E230F"/>
    <w:rsid w:val="009E4D9D"/>
    <w:rsid w:val="009E7F0B"/>
    <w:rsid w:val="009F0FEC"/>
    <w:rsid w:val="009F104E"/>
    <w:rsid w:val="009F2952"/>
    <w:rsid w:val="009F4730"/>
    <w:rsid w:val="009F6033"/>
    <w:rsid w:val="009F6D9C"/>
    <w:rsid w:val="00A0289B"/>
    <w:rsid w:val="00A126F5"/>
    <w:rsid w:val="00A207B8"/>
    <w:rsid w:val="00A20FB2"/>
    <w:rsid w:val="00A31662"/>
    <w:rsid w:val="00A32AE1"/>
    <w:rsid w:val="00A32B41"/>
    <w:rsid w:val="00A33C16"/>
    <w:rsid w:val="00A343A4"/>
    <w:rsid w:val="00A36847"/>
    <w:rsid w:val="00A44E0A"/>
    <w:rsid w:val="00A45B99"/>
    <w:rsid w:val="00A45DDC"/>
    <w:rsid w:val="00A51EBF"/>
    <w:rsid w:val="00A52B26"/>
    <w:rsid w:val="00A52B8A"/>
    <w:rsid w:val="00A54664"/>
    <w:rsid w:val="00A64520"/>
    <w:rsid w:val="00A645AE"/>
    <w:rsid w:val="00A67C1B"/>
    <w:rsid w:val="00A710B3"/>
    <w:rsid w:val="00A710C2"/>
    <w:rsid w:val="00A74B8A"/>
    <w:rsid w:val="00A76D86"/>
    <w:rsid w:val="00A86B6E"/>
    <w:rsid w:val="00A87C40"/>
    <w:rsid w:val="00A92E14"/>
    <w:rsid w:val="00A963B2"/>
    <w:rsid w:val="00A9717F"/>
    <w:rsid w:val="00AA2547"/>
    <w:rsid w:val="00AA3698"/>
    <w:rsid w:val="00AC42BE"/>
    <w:rsid w:val="00AC6520"/>
    <w:rsid w:val="00AD0063"/>
    <w:rsid w:val="00AD29E0"/>
    <w:rsid w:val="00AE0D2F"/>
    <w:rsid w:val="00AE22DF"/>
    <w:rsid w:val="00AE3285"/>
    <w:rsid w:val="00AE6248"/>
    <w:rsid w:val="00AF34AC"/>
    <w:rsid w:val="00AF75BE"/>
    <w:rsid w:val="00B01348"/>
    <w:rsid w:val="00B0797D"/>
    <w:rsid w:val="00B15F76"/>
    <w:rsid w:val="00B240E5"/>
    <w:rsid w:val="00B31719"/>
    <w:rsid w:val="00B36185"/>
    <w:rsid w:val="00B370EA"/>
    <w:rsid w:val="00B37369"/>
    <w:rsid w:val="00B37DE3"/>
    <w:rsid w:val="00B40DF9"/>
    <w:rsid w:val="00B42FD1"/>
    <w:rsid w:val="00B458C2"/>
    <w:rsid w:val="00B526BD"/>
    <w:rsid w:val="00B53BCD"/>
    <w:rsid w:val="00B615E7"/>
    <w:rsid w:val="00B62438"/>
    <w:rsid w:val="00B67532"/>
    <w:rsid w:val="00B72BFE"/>
    <w:rsid w:val="00B7399F"/>
    <w:rsid w:val="00B746E2"/>
    <w:rsid w:val="00B7500B"/>
    <w:rsid w:val="00B806B7"/>
    <w:rsid w:val="00B82F88"/>
    <w:rsid w:val="00B84036"/>
    <w:rsid w:val="00B90486"/>
    <w:rsid w:val="00B95E99"/>
    <w:rsid w:val="00BA3EF4"/>
    <w:rsid w:val="00BA6C77"/>
    <w:rsid w:val="00BB3499"/>
    <w:rsid w:val="00BB407A"/>
    <w:rsid w:val="00BC434A"/>
    <w:rsid w:val="00BC61BC"/>
    <w:rsid w:val="00BC7ED1"/>
    <w:rsid w:val="00BD2CB0"/>
    <w:rsid w:val="00BD373F"/>
    <w:rsid w:val="00BD5B74"/>
    <w:rsid w:val="00BE560C"/>
    <w:rsid w:val="00BF0F55"/>
    <w:rsid w:val="00BF36B6"/>
    <w:rsid w:val="00BF445B"/>
    <w:rsid w:val="00BF45A0"/>
    <w:rsid w:val="00BF749D"/>
    <w:rsid w:val="00C13AAC"/>
    <w:rsid w:val="00C13CBC"/>
    <w:rsid w:val="00C15553"/>
    <w:rsid w:val="00C163CC"/>
    <w:rsid w:val="00C17020"/>
    <w:rsid w:val="00C24CE7"/>
    <w:rsid w:val="00C37E52"/>
    <w:rsid w:val="00C40094"/>
    <w:rsid w:val="00C40465"/>
    <w:rsid w:val="00C51FC1"/>
    <w:rsid w:val="00C536F3"/>
    <w:rsid w:val="00C54324"/>
    <w:rsid w:val="00C5460C"/>
    <w:rsid w:val="00C62757"/>
    <w:rsid w:val="00C6474A"/>
    <w:rsid w:val="00C65F62"/>
    <w:rsid w:val="00C661DC"/>
    <w:rsid w:val="00C6647C"/>
    <w:rsid w:val="00C66B15"/>
    <w:rsid w:val="00C67C36"/>
    <w:rsid w:val="00C76E63"/>
    <w:rsid w:val="00C8089E"/>
    <w:rsid w:val="00C819C9"/>
    <w:rsid w:val="00C83E47"/>
    <w:rsid w:val="00C854B2"/>
    <w:rsid w:val="00C85EB9"/>
    <w:rsid w:val="00C86F68"/>
    <w:rsid w:val="00C962D5"/>
    <w:rsid w:val="00CA0C8B"/>
    <w:rsid w:val="00CA0CBF"/>
    <w:rsid w:val="00CA2D34"/>
    <w:rsid w:val="00CA478A"/>
    <w:rsid w:val="00CB3F21"/>
    <w:rsid w:val="00CB4335"/>
    <w:rsid w:val="00CC362B"/>
    <w:rsid w:val="00CC7FEF"/>
    <w:rsid w:val="00CD10D0"/>
    <w:rsid w:val="00CD4F2E"/>
    <w:rsid w:val="00CD5789"/>
    <w:rsid w:val="00CE01D5"/>
    <w:rsid w:val="00CE1559"/>
    <w:rsid w:val="00CE3A4B"/>
    <w:rsid w:val="00CE3CA3"/>
    <w:rsid w:val="00CF251F"/>
    <w:rsid w:val="00CF3370"/>
    <w:rsid w:val="00D0553F"/>
    <w:rsid w:val="00D07E63"/>
    <w:rsid w:val="00D10F0C"/>
    <w:rsid w:val="00D11F87"/>
    <w:rsid w:val="00D14C57"/>
    <w:rsid w:val="00D24D88"/>
    <w:rsid w:val="00D27C1E"/>
    <w:rsid w:val="00D31E46"/>
    <w:rsid w:val="00D36A5F"/>
    <w:rsid w:val="00D4313E"/>
    <w:rsid w:val="00D457B0"/>
    <w:rsid w:val="00D47A89"/>
    <w:rsid w:val="00D6314D"/>
    <w:rsid w:val="00D63C7C"/>
    <w:rsid w:val="00D67ADC"/>
    <w:rsid w:val="00D67FC8"/>
    <w:rsid w:val="00D72769"/>
    <w:rsid w:val="00D73BB4"/>
    <w:rsid w:val="00D75CC8"/>
    <w:rsid w:val="00D774AA"/>
    <w:rsid w:val="00D844A1"/>
    <w:rsid w:val="00D85BC1"/>
    <w:rsid w:val="00D9635F"/>
    <w:rsid w:val="00DA0C66"/>
    <w:rsid w:val="00DA5959"/>
    <w:rsid w:val="00DB0B06"/>
    <w:rsid w:val="00DB2B99"/>
    <w:rsid w:val="00DB4853"/>
    <w:rsid w:val="00DC1783"/>
    <w:rsid w:val="00DC2615"/>
    <w:rsid w:val="00DD674B"/>
    <w:rsid w:val="00DD6EF5"/>
    <w:rsid w:val="00DE35B9"/>
    <w:rsid w:val="00DE7E12"/>
    <w:rsid w:val="00DF40A3"/>
    <w:rsid w:val="00DF4E36"/>
    <w:rsid w:val="00DF5747"/>
    <w:rsid w:val="00DF627F"/>
    <w:rsid w:val="00DF713B"/>
    <w:rsid w:val="00E01CCD"/>
    <w:rsid w:val="00E02FAA"/>
    <w:rsid w:val="00E04964"/>
    <w:rsid w:val="00E14EF5"/>
    <w:rsid w:val="00E15E9C"/>
    <w:rsid w:val="00E17B68"/>
    <w:rsid w:val="00E30E48"/>
    <w:rsid w:val="00E372E8"/>
    <w:rsid w:val="00E41F80"/>
    <w:rsid w:val="00E470C3"/>
    <w:rsid w:val="00E5246C"/>
    <w:rsid w:val="00E53013"/>
    <w:rsid w:val="00E63B5F"/>
    <w:rsid w:val="00E64341"/>
    <w:rsid w:val="00E668CB"/>
    <w:rsid w:val="00E66B2D"/>
    <w:rsid w:val="00E711A7"/>
    <w:rsid w:val="00E73683"/>
    <w:rsid w:val="00E7419F"/>
    <w:rsid w:val="00E760E8"/>
    <w:rsid w:val="00E77206"/>
    <w:rsid w:val="00E823D7"/>
    <w:rsid w:val="00E82B89"/>
    <w:rsid w:val="00E95142"/>
    <w:rsid w:val="00EA1204"/>
    <w:rsid w:val="00EA378C"/>
    <w:rsid w:val="00EA4495"/>
    <w:rsid w:val="00EB3BE7"/>
    <w:rsid w:val="00EB3E45"/>
    <w:rsid w:val="00EB4F0C"/>
    <w:rsid w:val="00EB6E62"/>
    <w:rsid w:val="00EC28F1"/>
    <w:rsid w:val="00ED3B3D"/>
    <w:rsid w:val="00EE1CDF"/>
    <w:rsid w:val="00EE4DB8"/>
    <w:rsid w:val="00EE6FB4"/>
    <w:rsid w:val="00EF0050"/>
    <w:rsid w:val="00EF0981"/>
    <w:rsid w:val="00EF1C24"/>
    <w:rsid w:val="00EF7A4A"/>
    <w:rsid w:val="00F02BE0"/>
    <w:rsid w:val="00F033EA"/>
    <w:rsid w:val="00F0420E"/>
    <w:rsid w:val="00F12A2F"/>
    <w:rsid w:val="00F14FC9"/>
    <w:rsid w:val="00F1555A"/>
    <w:rsid w:val="00F16AE3"/>
    <w:rsid w:val="00F22646"/>
    <w:rsid w:val="00F23F24"/>
    <w:rsid w:val="00F242E8"/>
    <w:rsid w:val="00F25EAB"/>
    <w:rsid w:val="00F26082"/>
    <w:rsid w:val="00F2721A"/>
    <w:rsid w:val="00F358FA"/>
    <w:rsid w:val="00F36BC2"/>
    <w:rsid w:val="00F42B3D"/>
    <w:rsid w:val="00F44CF0"/>
    <w:rsid w:val="00F50767"/>
    <w:rsid w:val="00F622F4"/>
    <w:rsid w:val="00F70BA4"/>
    <w:rsid w:val="00F70DC0"/>
    <w:rsid w:val="00F735F6"/>
    <w:rsid w:val="00F7537B"/>
    <w:rsid w:val="00F962C3"/>
    <w:rsid w:val="00FA1086"/>
    <w:rsid w:val="00FA4A97"/>
    <w:rsid w:val="00FB0229"/>
    <w:rsid w:val="00FB1421"/>
    <w:rsid w:val="00FB4187"/>
    <w:rsid w:val="00FB4602"/>
    <w:rsid w:val="00FB6FBF"/>
    <w:rsid w:val="00FC362D"/>
    <w:rsid w:val="00FC5259"/>
    <w:rsid w:val="00FC6AAD"/>
    <w:rsid w:val="00FD2AA4"/>
    <w:rsid w:val="00FD614C"/>
    <w:rsid w:val="00FD6D73"/>
    <w:rsid w:val="00FE05C7"/>
    <w:rsid w:val="00FE69EA"/>
    <w:rsid w:val="00FF0949"/>
    <w:rsid w:val="00FF78FD"/>
    <w:rsid w:val="0112D98E"/>
    <w:rsid w:val="3E38A92A"/>
    <w:rsid w:val="48362048"/>
    <w:rsid w:val="66683D4E"/>
    <w:rsid w:val="75E21C3C"/>
    <w:rsid w:val="772BC8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A1F4"/>
  <w15:chartTrackingRefBased/>
  <w15:docId w15:val="{1900F7B7-FE24-4E76-AB10-4F5EFF33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C4"/>
    <w:pPr>
      <w:spacing w:after="0" w:line="240" w:lineRule="auto"/>
    </w:pPr>
    <w:rPr>
      <w:rFonts w:ascii="Calibri" w:hAnsi="Calibri" w:cs="Calibri"/>
    </w:rPr>
  </w:style>
  <w:style w:type="paragraph" w:styleId="Overskrift1">
    <w:name w:val="heading 1"/>
    <w:basedOn w:val="Normal"/>
    <w:next w:val="Normal"/>
    <w:link w:val="Overskrift1Tegn"/>
    <w:uiPriority w:val="9"/>
    <w:qFormat/>
    <w:rsid w:val="009D6A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F4C83"/>
    <w:pPr>
      <w:ind w:left="720"/>
      <w:contextualSpacing/>
    </w:pPr>
  </w:style>
  <w:style w:type="character" w:customStyle="1" w:styleId="Overskrift1Tegn">
    <w:name w:val="Overskrift 1 Tegn"/>
    <w:basedOn w:val="Standardskriftforavsnitt"/>
    <w:link w:val="Overskrift1"/>
    <w:uiPriority w:val="9"/>
    <w:rsid w:val="009D6AAC"/>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9A649F"/>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A649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A649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telTegn">
    <w:name w:val="Undertittel Tegn"/>
    <w:basedOn w:val="Standardskriftforavsnitt"/>
    <w:link w:val="Undertittel"/>
    <w:uiPriority w:val="11"/>
    <w:rsid w:val="009A649F"/>
    <w:rPr>
      <w:rFonts w:eastAsiaTheme="minorEastAsia"/>
      <w:color w:val="5A5A5A" w:themeColor="text1" w:themeTint="A5"/>
      <w:spacing w:val="15"/>
    </w:rPr>
  </w:style>
  <w:style w:type="paragraph" w:styleId="Bildetekst">
    <w:name w:val="caption"/>
    <w:basedOn w:val="Normal"/>
    <w:next w:val="Normal"/>
    <w:uiPriority w:val="35"/>
    <w:unhideWhenUsed/>
    <w:qFormat/>
    <w:rsid w:val="001F3F27"/>
    <w:pPr>
      <w:spacing w:after="200"/>
    </w:pPr>
    <w:rPr>
      <w:i/>
      <w:iCs/>
      <w:color w:val="44546A" w:themeColor="text2"/>
      <w:sz w:val="18"/>
      <w:szCs w:val="18"/>
    </w:rPr>
  </w:style>
  <w:style w:type="character" w:styleId="Merknadsreferanse">
    <w:name w:val="annotation reference"/>
    <w:basedOn w:val="Standardskriftforavsnitt"/>
    <w:uiPriority w:val="99"/>
    <w:semiHidden/>
    <w:unhideWhenUsed/>
    <w:rsid w:val="00873027"/>
    <w:rPr>
      <w:sz w:val="16"/>
      <w:szCs w:val="16"/>
    </w:rPr>
  </w:style>
  <w:style w:type="paragraph" w:styleId="Merknadstekst">
    <w:name w:val="annotation text"/>
    <w:basedOn w:val="Normal"/>
    <w:link w:val="MerknadstekstTegn"/>
    <w:uiPriority w:val="99"/>
    <w:semiHidden/>
    <w:unhideWhenUsed/>
    <w:rsid w:val="00873027"/>
    <w:rPr>
      <w:sz w:val="20"/>
      <w:szCs w:val="20"/>
    </w:rPr>
  </w:style>
  <w:style w:type="character" w:customStyle="1" w:styleId="MerknadstekstTegn">
    <w:name w:val="Merknadstekst Tegn"/>
    <w:basedOn w:val="Standardskriftforavsnitt"/>
    <w:link w:val="Merknadstekst"/>
    <w:uiPriority w:val="99"/>
    <w:semiHidden/>
    <w:rsid w:val="00873027"/>
    <w:rPr>
      <w:rFonts w:ascii="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873027"/>
    <w:rPr>
      <w:b/>
      <w:bCs/>
    </w:rPr>
  </w:style>
  <w:style w:type="character" w:customStyle="1" w:styleId="KommentaremneTegn">
    <w:name w:val="Kommentaremne Tegn"/>
    <w:basedOn w:val="MerknadstekstTegn"/>
    <w:link w:val="Kommentaremne"/>
    <w:uiPriority w:val="99"/>
    <w:semiHidden/>
    <w:rsid w:val="00873027"/>
    <w:rPr>
      <w:rFonts w:ascii="Calibri" w:hAnsi="Calibri" w:cs="Calibri"/>
      <w:b/>
      <w:bCs/>
      <w:sz w:val="20"/>
      <w:szCs w:val="20"/>
    </w:rPr>
  </w:style>
  <w:style w:type="paragraph" w:styleId="Bobletekst">
    <w:name w:val="Balloon Text"/>
    <w:basedOn w:val="Normal"/>
    <w:link w:val="BobletekstTegn"/>
    <w:uiPriority w:val="99"/>
    <w:semiHidden/>
    <w:unhideWhenUsed/>
    <w:rsid w:val="0087302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73027"/>
    <w:rPr>
      <w:rFonts w:ascii="Segoe UI" w:hAnsi="Segoe UI" w:cs="Segoe UI"/>
      <w:sz w:val="18"/>
      <w:szCs w:val="18"/>
    </w:rPr>
  </w:style>
  <w:style w:type="table" w:styleId="Tabellrutenett">
    <w:name w:val="Table Grid"/>
    <w:basedOn w:val="Vanligtabell"/>
    <w:uiPriority w:val="39"/>
    <w:rsid w:val="00400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1242EC"/>
    <w:pPr>
      <w:tabs>
        <w:tab w:val="center" w:pos="4536"/>
        <w:tab w:val="right" w:pos="9072"/>
      </w:tabs>
    </w:pPr>
  </w:style>
  <w:style w:type="character" w:customStyle="1" w:styleId="TopptekstTegn">
    <w:name w:val="Topptekst Tegn"/>
    <w:basedOn w:val="Standardskriftforavsnitt"/>
    <w:link w:val="Topptekst"/>
    <w:uiPriority w:val="99"/>
    <w:rsid w:val="001242EC"/>
    <w:rPr>
      <w:rFonts w:ascii="Calibri" w:hAnsi="Calibri" w:cs="Calibri"/>
    </w:rPr>
  </w:style>
  <w:style w:type="paragraph" w:styleId="Bunntekst">
    <w:name w:val="footer"/>
    <w:basedOn w:val="Normal"/>
    <w:link w:val="BunntekstTegn"/>
    <w:uiPriority w:val="99"/>
    <w:unhideWhenUsed/>
    <w:rsid w:val="001242EC"/>
    <w:pPr>
      <w:tabs>
        <w:tab w:val="center" w:pos="4536"/>
        <w:tab w:val="right" w:pos="9072"/>
      </w:tabs>
    </w:pPr>
  </w:style>
  <w:style w:type="character" w:customStyle="1" w:styleId="BunntekstTegn">
    <w:name w:val="Bunntekst Tegn"/>
    <w:basedOn w:val="Standardskriftforavsnitt"/>
    <w:link w:val="Bunntekst"/>
    <w:uiPriority w:val="99"/>
    <w:rsid w:val="001242E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2640">
      <w:bodyDiv w:val="1"/>
      <w:marLeft w:val="0"/>
      <w:marRight w:val="0"/>
      <w:marTop w:val="0"/>
      <w:marBottom w:val="0"/>
      <w:divBdr>
        <w:top w:val="none" w:sz="0" w:space="0" w:color="auto"/>
        <w:left w:val="none" w:sz="0" w:space="0" w:color="auto"/>
        <w:bottom w:val="none" w:sz="0" w:space="0" w:color="auto"/>
        <w:right w:val="none" w:sz="0" w:space="0" w:color="auto"/>
      </w:divBdr>
    </w:div>
    <w:div w:id="17895299">
      <w:bodyDiv w:val="1"/>
      <w:marLeft w:val="0"/>
      <w:marRight w:val="0"/>
      <w:marTop w:val="0"/>
      <w:marBottom w:val="0"/>
      <w:divBdr>
        <w:top w:val="none" w:sz="0" w:space="0" w:color="auto"/>
        <w:left w:val="none" w:sz="0" w:space="0" w:color="auto"/>
        <w:bottom w:val="none" w:sz="0" w:space="0" w:color="auto"/>
        <w:right w:val="none" w:sz="0" w:space="0" w:color="auto"/>
      </w:divBdr>
    </w:div>
    <w:div w:id="71661102">
      <w:bodyDiv w:val="1"/>
      <w:marLeft w:val="0"/>
      <w:marRight w:val="0"/>
      <w:marTop w:val="0"/>
      <w:marBottom w:val="0"/>
      <w:divBdr>
        <w:top w:val="none" w:sz="0" w:space="0" w:color="auto"/>
        <w:left w:val="none" w:sz="0" w:space="0" w:color="auto"/>
        <w:bottom w:val="none" w:sz="0" w:space="0" w:color="auto"/>
        <w:right w:val="none" w:sz="0" w:space="0" w:color="auto"/>
      </w:divBdr>
    </w:div>
    <w:div w:id="413742996">
      <w:bodyDiv w:val="1"/>
      <w:marLeft w:val="0"/>
      <w:marRight w:val="0"/>
      <w:marTop w:val="0"/>
      <w:marBottom w:val="0"/>
      <w:divBdr>
        <w:top w:val="none" w:sz="0" w:space="0" w:color="auto"/>
        <w:left w:val="none" w:sz="0" w:space="0" w:color="auto"/>
        <w:bottom w:val="none" w:sz="0" w:space="0" w:color="auto"/>
        <w:right w:val="none" w:sz="0" w:space="0" w:color="auto"/>
      </w:divBdr>
    </w:div>
    <w:div w:id="417679457">
      <w:bodyDiv w:val="1"/>
      <w:marLeft w:val="0"/>
      <w:marRight w:val="0"/>
      <w:marTop w:val="0"/>
      <w:marBottom w:val="0"/>
      <w:divBdr>
        <w:top w:val="none" w:sz="0" w:space="0" w:color="auto"/>
        <w:left w:val="none" w:sz="0" w:space="0" w:color="auto"/>
        <w:bottom w:val="none" w:sz="0" w:space="0" w:color="auto"/>
        <w:right w:val="none" w:sz="0" w:space="0" w:color="auto"/>
      </w:divBdr>
    </w:div>
    <w:div w:id="484473470">
      <w:bodyDiv w:val="1"/>
      <w:marLeft w:val="0"/>
      <w:marRight w:val="0"/>
      <w:marTop w:val="0"/>
      <w:marBottom w:val="0"/>
      <w:divBdr>
        <w:top w:val="none" w:sz="0" w:space="0" w:color="auto"/>
        <w:left w:val="none" w:sz="0" w:space="0" w:color="auto"/>
        <w:bottom w:val="none" w:sz="0" w:space="0" w:color="auto"/>
        <w:right w:val="none" w:sz="0" w:space="0" w:color="auto"/>
      </w:divBdr>
    </w:div>
    <w:div w:id="552228801">
      <w:bodyDiv w:val="1"/>
      <w:marLeft w:val="0"/>
      <w:marRight w:val="0"/>
      <w:marTop w:val="0"/>
      <w:marBottom w:val="0"/>
      <w:divBdr>
        <w:top w:val="none" w:sz="0" w:space="0" w:color="auto"/>
        <w:left w:val="none" w:sz="0" w:space="0" w:color="auto"/>
        <w:bottom w:val="none" w:sz="0" w:space="0" w:color="auto"/>
        <w:right w:val="none" w:sz="0" w:space="0" w:color="auto"/>
      </w:divBdr>
    </w:div>
    <w:div w:id="1022130813">
      <w:bodyDiv w:val="1"/>
      <w:marLeft w:val="0"/>
      <w:marRight w:val="0"/>
      <w:marTop w:val="0"/>
      <w:marBottom w:val="0"/>
      <w:divBdr>
        <w:top w:val="none" w:sz="0" w:space="0" w:color="auto"/>
        <w:left w:val="none" w:sz="0" w:space="0" w:color="auto"/>
        <w:bottom w:val="none" w:sz="0" w:space="0" w:color="auto"/>
        <w:right w:val="none" w:sz="0" w:space="0" w:color="auto"/>
      </w:divBdr>
    </w:div>
    <w:div w:id="1207377670">
      <w:bodyDiv w:val="1"/>
      <w:marLeft w:val="0"/>
      <w:marRight w:val="0"/>
      <w:marTop w:val="0"/>
      <w:marBottom w:val="0"/>
      <w:divBdr>
        <w:top w:val="none" w:sz="0" w:space="0" w:color="auto"/>
        <w:left w:val="none" w:sz="0" w:space="0" w:color="auto"/>
        <w:bottom w:val="none" w:sz="0" w:space="0" w:color="auto"/>
        <w:right w:val="none" w:sz="0" w:space="0" w:color="auto"/>
      </w:divBdr>
    </w:div>
    <w:div w:id="1517036355">
      <w:bodyDiv w:val="1"/>
      <w:marLeft w:val="0"/>
      <w:marRight w:val="0"/>
      <w:marTop w:val="0"/>
      <w:marBottom w:val="0"/>
      <w:divBdr>
        <w:top w:val="none" w:sz="0" w:space="0" w:color="auto"/>
        <w:left w:val="none" w:sz="0" w:space="0" w:color="auto"/>
        <w:bottom w:val="none" w:sz="0" w:space="0" w:color="auto"/>
        <w:right w:val="none" w:sz="0" w:space="0" w:color="auto"/>
      </w:divBdr>
    </w:div>
    <w:div w:id="1529873924">
      <w:bodyDiv w:val="1"/>
      <w:marLeft w:val="0"/>
      <w:marRight w:val="0"/>
      <w:marTop w:val="0"/>
      <w:marBottom w:val="0"/>
      <w:divBdr>
        <w:top w:val="none" w:sz="0" w:space="0" w:color="auto"/>
        <w:left w:val="none" w:sz="0" w:space="0" w:color="auto"/>
        <w:bottom w:val="none" w:sz="0" w:space="0" w:color="auto"/>
        <w:right w:val="none" w:sz="0" w:space="0" w:color="auto"/>
      </w:divBdr>
    </w:div>
    <w:div w:id="1619022145">
      <w:bodyDiv w:val="1"/>
      <w:marLeft w:val="0"/>
      <w:marRight w:val="0"/>
      <w:marTop w:val="0"/>
      <w:marBottom w:val="0"/>
      <w:divBdr>
        <w:top w:val="none" w:sz="0" w:space="0" w:color="auto"/>
        <w:left w:val="none" w:sz="0" w:space="0" w:color="auto"/>
        <w:bottom w:val="none" w:sz="0" w:space="0" w:color="auto"/>
        <w:right w:val="none" w:sz="0" w:space="0" w:color="auto"/>
      </w:divBdr>
    </w:div>
    <w:div w:id="16788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4/relationships/chartEx" Target="charts/chartEx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sandneskommune-my.sharepoint.com/personal/teknaad_sandnes_kommune_no/Documents/ARBEID/Omstillingsarbeid%20-%20selvkost%20etc/Saksfordeli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andneskommune-my.sharepoint.com/personal/teknaad_sandnes_kommune_no/Documents/ARBEID/Omstillingsarbeid%20-%20selvkost%20etc/Saksfordeling.xlsx" TargetMode="External"/><Relationship Id="rId2" Type="http://schemas.microsoft.com/office/2011/relationships/chartColorStyle" Target="colors2.xml"/><Relationship Id="rId1" Type="http://schemas.microsoft.com/office/2011/relationships/chartStyle" Target="style2.xm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ttps://sandneskommune-my.sharepoint.com/personal/teknaad_sandnes_kommune_no/Documents/ARBEID/Omstillingsarbeid%20-%20selvkost%20etc/KOSTRA%20Mange%20byer%20oppm&#229;ling%202015-2018%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mn-lt"/>
                <a:ea typeface="+mn-ea"/>
                <a:cs typeface="+mn-cs"/>
              </a:defRPr>
            </a:pPr>
            <a:r>
              <a:rPr lang="en-US" sz="1100"/>
              <a:t>Utvikling i sakstilgangen 2010-2019</a:t>
            </a:r>
          </a:p>
        </c:rich>
      </c:tx>
      <c:layout>
        <c:manualLayout>
          <c:xMode val="edge"/>
          <c:yMode val="edge"/>
          <c:x val="0.22088323002177923"/>
          <c:y val="7.8531174169266582E-2"/>
        </c:manualLayout>
      </c:layout>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mn-lt"/>
              <a:ea typeface="+mn-ea"/>
              <a:cs typeface="+mn-cs"/>
            </a:defRPr>
          </a:pPr>
          <a:endParaRPr lang="nb-NO"/>
        </a:p>
      </c:txPr>
    </c:title>
    <c:autoTitleDeleted val="0"/>
    <c:plotArea>
      <c:layout>
        <c:manualLayout>
          <c:layoutTarget val="inner"/>
          <c:xMode val="edge"/>
          <c:yMode val="edge"/>
          <c:x val="0.10980320691354628"/>
          <c:y val="0.21764705882352942"/>
          <c:w val="0.89019685039370078"/>
          <c:h val="0.60368802857976089"/>
        </c:manualLayout>
      </c:layout>
      <c:barChart>
        <c:barDir val="col"/>
        <c:grouping val="clustered"/>
        <c:varyColors val="0"/>
        <c:ser>
          <c:idx val="0"/>
          <c:order val="0"/>
          <c:tx>
            <c:strRef>
              <c:f>'Pivot saker 2010-2020'!$S$2</c:f>
              <c:strCache>
                <c:ptCount val="1"/>
                <c:pt idx="0">
                  <c:v>Antall saker pr år</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dPt>
            <c:idx val="0"/>
            <c:invertIfNegative val="0"/>
            <c:bubble3D val="0"/>
            <c:spPr>
              <a:solidFill>
                <a:srgbClr val="92D05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A-932C-41FF-B09D-C08DCFC6B006}"/>
              </c:ext>
            </c:extLst>
          </c:dPt>
          <c:dPt>
            <c:idx val="1"/>
            <c:invertIfNegative val="0"/>
            <c:bubble3D val="0"/>
            <c:spPr>
              <a:solidFill>
                <a:srgbClr val="92D05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9-932C-41FF-B09D-C08DCFC6B006}"/>
              </c:ext>
            </c:extLst>
          </c:dPt>
          <c:dPt>
            <c:idx val="2"/>
            <c:invertIfNegative val="0"/>
            <c:bubble3D val="0"/>
            <c:spPr>
              <a:solidFill>
                <a:srgbClr val="92D05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8-932C-41FF-B09D-C08DCFC6B006}"/>
              </c:ext>
            </c:extLst>
          </c:dPt>
          <c:dPt>
            <c:idx val="3"/>
            <c:invertIfNegative val="0"/>
            <c:bubble3D val="0"/>
            <c:spPr>
              <a:solidFill>
                <a:srgbClr val="92D05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7-932C-41FF-B09D-C08DCFC6B006}"/>
              </c:ext>
            </c:extLst>
          </c:dPt>
          <c:dPt>
            <c:idx val="4"/>
            <c:invertIfNegative val="0"/>
            <c:bubble3D val="0"/>
            <c:spPr>
              <a:solidFill>
                <a:srgbClr val="92D05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6-932C-41FF-B09D-C08DCFC6B006}"/>
              </c:ext>
            </c:extLst>
          </c:dPt>
          <c:dPt>
            <c:idx val="5"/>
            <c:invertIfNegative val="0"/>
            <c:bubble3D val="0"/>
            <c:spPr>
              <a:solidFill>
                <a:srgbClr val="92D05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5-932C-41FF-B09D-C08DCFC6B006}"/>
              </c:ext>
            </c:extLst>
          </c:dPt>
          <c:dPt>
            <c:idx val="6"/>
            <c:invertIfNegative val="0"/>
            <c:bubble3D val="0"/>
            <c:spPr>
              <a:solidFill>
                <a:srgbClr val="92D05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4-932C-41FF-B09D-C08DCFC6B006}"/>
              </c:ext>
            </c:extLst>
          </c:dPt>
          <c:dPt>
            <c:idx val="7"/>
            <c:invertIfNegative val="0"/>
            <c:bubble3D val="0"/>
            <c:spPr>
              <a:solidFill>
                <a:schemeClr val="accent1"/>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3-932C-41FF-B09D-C08DCFC6B006}"/>
              </c:ext>
            </c:extLst>
          </c:dPt>
          <c:dPt>
            <c:idx val="8"/>
            <c:invertIfNegative val="0"/>
            <c:bubble3D val="0"/>
            <c:spPr>
              <a:solidFill>
                <a:schemeClr val="accent2"/>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2-932C-41FF-B09D-C08DCFC6B006}"/>
              </c:ext>
            </c:extLst>
          </c:dPt>
          <c:dPt>
            <c:idx val="9"/>
            <c:invertIfNegative val="0"/>
            <c:bubble3D val="0"/>
            <c:spPr>
              <a:solidFill>
                <a:schemeClr val="bg1">
                  <a:lumMod val="5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1-932C-41FF-B09D-C08DCFC6B006}"/>
              </c:ext>
            </c:extLst>
          </c:dPt>
          <c:cat>
            <c:numRef>
              <c:f>'Pivot saker 2010-2020'!$R$3:$R$12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'Pivot saker 2010-2020'!$S$3:$S$12</c:f>
              <c:numCache>
                <c:formatCode>General</c:formatCode>
                <c:ptCount val="10"/>
                <c:pt idx="0">
                  <c:v>243</c:v>
                </c:pt>
                <c:pt idx="1">
                  <c:v>359</c:v>
                </c:pt>
                <c:pt idx="2">
                  <c:v>381</c:v>
                </c:pt>
                <c:pt idx="3">
                  <c:v>374</c:v>
                </c:pt>
                <c:pt idx="4">
                  <c:v>386</c:v>
                </c:pt>
                <c:pt idx="5">
                  <c:v>333</c:v>
                </c:pt>
                <c:pt idx="6">
                  <c:v>308</c:v>
                </c:pt>
                <c:pt idx="7">
                  <c:v>256</c:v>
                </c:pt>
                <c:pt idx="8">
                  <c:v>254</c:v>
                </c:pt>
                <c:pt idx="9">
                  <c:v>249</c:v>
                </c:pt>
              </c:numCache>
            </c:numRef>
          </c:val>
          <c:extLst>
            <c:ext xmlns:c16="http://schemas.microsoft.com/office/drawing/2014/chart" uri="{C3380CC4-5D6E-409C-BE32-E72D297353CC}">
              <c16:uniqueId val="{00000001-A958-4C4E-96C5-AAB493D60F0C}"/>
            </c:ext>
          </c:extLst>
        </c:ser>
        <c:dLbls>
          <c:showLegendKey val="0"/>
          <c:showVal val="0"/>
          <c:showCatName val="0"/>
          <c:showSerName val="0"/>
          <c:showPercent val="0"/>
          <c:showBubbleSize val="0"/>
        </c:dLbls>
        <c:gapWidth val="355"/>
        <c:overlap val="-70"/>
        <c:axId val="1400700192"/>
        <c:axId val="1400700848"/>
      </c:barChart>
      <c:catAx>
        <c:axId val="140070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nb-NO"/>
          </a:p>
        </c:txPr>
        <c:crossAx val="1400700848"/>
        <c:crosses val="autoZero"/>
        <c:auto val="1"/>
        <c:lblAlgn val="ctr"/>
        <c:lblOffset val="100"/>
        <c:noMultiLvlLbl val="0"/>
      </c:catAx>
      <c:valAx>
        <c:axId val="1400700848"/>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crossAx val="1400700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b-N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nb-NO" sz="1100" cap="all" baseline="0"/>
              <a:t>Økonomi selvkost matrikkellov </a:t>
            </a:r>
            <a:r>
              <a:rPr lang="nb-NO" sz="1100"/>
              <a:t>2017-2019</a:t>
            </a:r>
          </a:p>
        </c:rich>
      </c:tx>
      <c:layout>
        <c:manualLayout>
          <c:xMode val="edge"/>
          <c:yMode val="edge"/>
          <c:x val="0.16377970832158376"/>
          <c:y val="2.920317062995411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nb-NO"/>
        </a:p>
      </c:txPr>
    </c:title>
    <c:autoTitleDeleted val="0"/>
    <c:plotArea>
      <c:layout>
        <c:manualLayout>
          <c:layoutTarget val="inner"/>
          <c:xMode val="edge"/>
          <c:yMode val="edge"/>
          <c:x val="0.15584927606592527"/>
          <c:y val="0.2732495280195239"/>
          <c:w val="0.82359837968230853"/>
          <c:h val="0.45667265276051022"/>
        </c:manualLayout>
      </c:layout>
      <c:barChart>
        <c:barDir val="col"/>
        <c:grouping val="clustered"/>
        <c:varyColors val="0"/>
        <c:ser>
          <c:idx val="0"/>
          <c:order val="0"/>
          <c:tx>
            <c:strRef>
              <c:f>' Gebyr 2017-2019 og prognose'!$C$45</c:f>
              <c:strCache>
                <c:ptCount val="1"/>
                <c:pt idx="0">
                  <c:v>2017</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 Gebyr 2017-2019 og prognose'!$B$46:$B$49</c:f>
              <c:strCache>
                <c:ptCount val="4"/>
                <c:pt idx="0">
                  <c:v>Gebyrinntekter</c:v>
                </c:pt>
                <c:pt idx="1">
                  <c:v>Driftskostnader</c:v>
                </c:pt>
                <c:pt idx="2">
                  <c:v>Resultat etterkalkyle tjeneste 3000</c:v>
                </c:pt>
                <c:pt idx="3">
                  <c:v>Fremførbart underskudd pr. 31.12</c:v>
                </c:pt>
              </c:strCache>
            </c:strRef>
          </c:cat>
          <c:val>
            <c:numRef>
              <c:f>' Gebyr 2017-2019 og prognose'!$C$46:$C$49</c:f>
              <c:numCache>
                <c:formatCode>_ * #,##0_ ;_ * \-#,##0_ ;_ * "-"??_ ;_ @_ </c:formatCode>
                <c:ptCount val="4"/>
                <c:pt idx="0">
                  <c:v>4412338</c:v>
                </c:pt>
                <c:pt idx="1">
                  <c:v>7367279</c:v>
                </c:pt>
                <c:pt idx="2">
                  <c:v>-2409803</c:v>
                </c:pt>
                <c:pt idx="3">
                  <c:v>-2250184</c:v>
                </c:pt>
              </c:numCache>
            </c:numRef>
          </c:val>
          <c:extLst>
            <c:ext xmlns:c16="http://schemas.microsoft.com/office/drawing/2014/chart" uri="{C3380CC4-5D6E-409C-BE32-E72D297353CC}">
              <c16:uniqueId val="{00000000-B701-4774-9E4A-B4BF7EE0DDF6}"/>
            </c:ext>
          </c:extLst>
        </c:ser>
        <c:ser>
          <c:idx val="1"/>
          <c:order val="1"/>
          <c:tx>
            <c:strRef>
              <c:f>' Gebyr 2017-2019 og prognose'!$D$45</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 Gebyr 2017-2019 og prognose'!$B$46:$B$49</c:f>
              <c:strCache>
                <c:ptCount val="4"/>
                <c:pt idx="0">
                  <c:v>Gebyrinntekter</c:v>
                </c:pt>
                <c:pt idx="1">
                  <c:v>Driftskostnader</c:v>
                </c:pt>
                <c:pt idx="2">
                  <c:v>Resultat etterkalkyle tjeneste 3000</c:v>
                </c:pt>
                <c:pt idx="3">
                  <c:v>Fremførbart underskudd pr. 31.12</c:v>
                </c:pt>
              </c:strCache>
            </c:strRef>
          </c:cat>
          <c:val>
            <c:numRef>
              <c:f>' Gebyr 2017-2019 og prognose'!$D$46:$D$49</c:f>
              <c:numCache>
                <c:formatCode>_ * #,##0_ ;_ * \-#,##0_ ;_ * "-"??_ ;_ @_ </c:formatCode>
                <c:ptCount val="4"/>
                <c:pt idx="0">
                  <c:v>7792276</c:v>
                </c:pt>
                <c:pt idx="1">
                  <c:v>6641006</c:v>
                </c:pt>
                <c:pt idx="2">
                  <c:v>1535732</c:v>
                </c:pt>
                <c:pt idx="3">
                  <c:v>-504818</c:v>
                </c:pt>
              </c:numCache>
            </c:numRef>
          </c:val>
          <c:extLst>
            <c:ext xmlns:c16="http://schemas.microsoft.com/office/drawing/2014/chart" uri="{C3380CC4-5D6E-409C-BE32-E72D297353CC}">
              <c16:uniqueId val="{00000001-B701-4774-9E4A-B4BF7EE0DDF6}"/>
            </c:ext>
          </c:extLst>
        </c:ser>
        <c:ser>
          <c:idx val="2"/>
          <c:order val="2"/>
          <c:tx>
            <c:strRef>
              <c:f>' Gebyr 2017-2019 og prognose'!$E$45</c:f>
              <c:strCache>
                <c:ptCount val="1"/>
                <c:pt idx="0">
                  <c:v>2019</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 Gebyr 2017-2019 og prognose'!$B$46:$B$49</c:f>
              <c:strCache>
                <c:ptCount val="4"/>
                <c:pt idx="0">
                  <c:v>Gebyrinntekter</c:v>
                </c:pt>
                <c:pt idx="1">
                  <c:v>Driftskostnader</c:v>
                </c:pt>
                <c:pt idx="2">
                  <c:v>Resultat etterkalkyle tjeneste 3000</c:v>
                </c:pt>
                <c:pt idx="3">
                  <c:v>Fremførbart underskudd pr. 31.12</c:v>
                </c:pt>
              </c:strCache>
            </c:strRef>
          </c:cat>
          <c:val>
            <c:numRef>
              <c:f>' Gebyr 2017-2019 og prognose'!$E$46:$E$49</c:f>
              <c:numCache>
                <c:formatCode>_ * #,##0_ ;_ * \-#,##0_ ;_ * "-"??_ ;_ @_ </c:formatCode>
                <c:ptCount val="4"/>
                <c:pt idx="0">
                  <c:v>5166318</c:v>
                </c:pt>
                <c:pt idx="1">
                  <c:v>7326243</c:v>
                </c:pt>
                <c:pt idx="2">
                  <c:v>-1758678</c:v>
                </c:pt>
                <c:pt idx="3">
                  <c:v>-2295332</c:v>
                </c:pt>
              </c:numCache>
            </c:numRef>
          </c:val>
          <c:extLst>
            <c:ext xmlns:c16="http://schemas.microsoft.com/office/drawing/2014/chart" uri="{C3380CC4-5D6E-409C-BE32-E72D297353CC}">
              <c16:uniqueId val="{00000002-B701-4774-9E4A-B4BF7EE0DDF6}"/>
            </c:ext>
          </c:extLst>
        </c:ser>
        <c:dLbls>
          <c:showLegendKey val="0"/>
          <c:showVal val="0"/>
          <c:showCatName val="0"/>
          <c:showSerName val="0"/>
          <c:showPercent val="0"/>
          <c:showBubbleSize val="0"/>
        </c:dLbls>
        <c:gapWidth val="219"/>
        <c:axId val="744955592"/>
        <c:axId val="744952312"/>
      </c:barChart>
      <c:catAx>
        <c:axId val="744955592"/>
        <c:scaling>
          <c:orientation val="minMax"/>
        </c:scaling>
        <c:delete val="0"/>
        <c:axPos val="b"/>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0" spcFirstLastPara="1" vertOverflow="ellipsis" wrap="square" anchor="b" anchorCtr="0"/>
          <a:lstStyle/>
          <a:p>
            <a:pPr>
              <a:defRPr sz="900" b="0" i="0" u="none" strike="noStrike" kern="1200" baseline="0">
                <a:solidFill>
                  <a:schemeClr val="tx1">
                    <a:lumMod val="65000"/>
                    <a:lumOff val="35000"/>
                  </a:schemeClr>
                </a:solidFill>
                <a:latin typeface="+mn-lt"/>
                <a:ea typeface="+mn-ea"/>
                <a:cs typeface="+mn-cs"/>
              </a:defRPr>
            </a:pPr>
            <a:endParaRPr lang="nb-NO"/>
          </a:p>
        </c:txPr>
        <c:crossAx val="744952312"/>
        <c:crossesAt val="0"/>
        <c:auto val="1"/>
        <c:lblAlgn val="ctr"/>
        <c:lblOffset val="100"/>
        <c:noMultiLvlLbl val="0"/>
      </c:catAx>
      <c:valAx>
        <c:axId val="744952312"/>
        <c:scaling>
          <c:orientation val="minMax"/>
          <c:max val="8000000"/>
          <c:min val="-5000000"/>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744955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chart>
  <c:spPr>
    <a:solidFill>
      <a:schemeClr val="bg1"/>
    </a:solidFill>
    <a:ln w="9525" cap="flat" cmpd="sng" algn="ctr">
      <a:noFill/>
      <a:round/>
    </a:ln>
    <a:effectLst/>
  </c:spPr>
  <c:txPr>
    <a:bodyPr/>
    <a:lstStyle/>
    <a:p>
      <a:pPr>
        <a:defRPr/>
      </a:pPr>
      <a:endParaRPr lang="nb-NO"/>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KOSoppmaalingsfa0001!$B$5:$B$18</cx:f>
        <cx:lvl ptCount="14">
          <cx:pt idx="0">Sandnes</cx:pt>
          <cx:pt idx="1">Oslo</cx:pt>
          <cx:pt idx="2">Stavanger</cx:pt>
          <cx:pt idx="3">Bergen</cx:pt>
          <cx:pt idx="4">Bærum</cx:pt>
          <cx:pt idx="5">Trondheim</cx:pt>
          <cx:pt idx="6">Klepp</cx:pt>
          <cx:pt idx="7">Kristiansand</cx:pt>
          <cx:pt idx="8">Fredrikstad</cx:pt>
          <cx:pt idx="9">Drammen</cx:pt>
          <cx:pt idx="10">Sola</cx:pt>
          <cx:pt idx="11">Time</cx:pt>
          <cx:pt idx="12">Tromsø</cx:pt>
          <cx:pt idx="13">Gjesdal</cx:pt>
        </cx:lvl>
      </cx:strDim>
      <cx:numDim type="val">
        <cx:f>KOSoppmaalingsfa0001!$AE$5:$AE$18</cx:f>
        <cx:lvl ptCount="14" formatCode="_-* # ##0_-;\-* # ##0_-;_-* &quot;-&quot;??_-;_-@_-">
          <cx:pt idx="0">86.88478098331916</cx:pt>
          <cx:pt idx="1">98.283808584817692</cx:pt>
          <cx:pt idx="2">131.26748592272548</cx:pt>
          <cx:pt idx="3">135.19686052496141</cx:pt>
          <cx:pt idx="4">141.0078594544614</cx:pt>
          <cx:pt idx="5">143.29517272476767</cx:pt>
          <cx:pt idx="6">150.90805016391738</cx:pt>
          <cx:pt idx="7">155.64977430143097</cx:pt>
          <cx:pt idx="8">178.37163639058005</cx:pt>
          <cx:pt idx="9">181.24264720543957</cx:pt>
          <cx:pt idx="10">210.39406053683609</cx:pt>
          <cx:pt idx="11">213.9686614257447</cx:pt>
          <cx:pt idx="12">243.30363045030276</cx:pt>
          <cx:pt idx="13">326.64756446991407</cx:pt>
        </cx:lvl>
      </cx:numDim>
    </cx:data>
  </cx:chartData>
  <cx:chart>
    <cx:title pos="t" align="ctr" overlay="0">
      <cx:tx>
        <cx:txData>
          <cx:v>Brutto driftsutgifter fra KOSTRA - omregnet til kr. pr. innbygger (tall fra 2018)</cx:v>
        </cx:txData>
      </cx:tx>
      <cx:txPr>
        <a:bodyPr spcFirstLastPara="1" vertOverflow="ellipsis" horzOverflow="overflow" wrap="square" lIns="0" tIns="0" rIns="0" bIns="0" anchor="ctr" anchorCtr="1"/>
        <a:lstStyle/>
        <a:p>
          <a:pPr algn="ctr" rtl="0">
            <a:defRPr/>
          </a:pPr>
          <a:r>
            <a:rPr lang="nb-NO" sz="1100" b="1" i="0" u="none" strike="noStrike" baseline="0">
              <a:solidFill>
                <a:sysClr val="windowText" lastClr="000000">
                  <a:lumMod val="65000"/>
                  <a:lumOff val="35000"/>
                </a:sysClr>
              </a:solidFill>
              <a:latin typeface="+mn-lt"/>
            </a:rPr>
            <a:t>Brutto driftsutgifter fra KOSTRA - omregnet til kr. pr. innbygger (tall fra 2018)</a:t>
          </a:r>
        </a:p>
      </cx:txPr>
    </cx:title>
    <cx:plotArea>
      <cx:plotAreaRegion>
        <cx:series layoutId="funnel" uniqueId="{D9D6F119-F459-4116-B0D9-6D66CFE5F1B4}">
          <cx:tx>
            <cx:txData>
              <cx:f>KOSoppmaalingsfa0001!$AE$4</cx:f>
              <cx:v>201825</cx:v>
            </cx:txData>
          </cx:tx>
          <cx:dataLabels>
            <cx:visibility seriesName="0" categoryName="0" value="1"/>
          </cx:dataLabels>
          <cx:dataId val="0"/>
        </cx:series>
      </cx:plotAreaRegion>
      <cx:axis id="0">
        <cx:catScaling gapWidth="0.0599999987"/>
        <cx:tickLabels/>
      </cx:axis>
    </cx:plotArea>
  </cx:chart>
  <cx:spPr>
    <a:ln>
      <a:no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22364504C0774B91A8C83906C34E2B" ma:contentTypeVersion="4" ma:contentTypeDescription="Opprett et nytt dokument." ma:contentTypeScope="" ma:versionID="fce10360a1103461b42b1fb55dbe59ff">
  <xsd:schema xmlns:xsd="http://www.w3.org/2001/XMLSchema" xmlns:xs="http://www.w3.org/2001/XMLSchema" xmlns:p="http://schemas.microsoft.com/office/2006/metadata/properties" xmlns:ns2="6719592d-42f9-4331-a016-1868470944c5" xmlns:ns3="df25a99a-1c69-45a9-93ff-ed73211d2714" targetNamespace="http://schemas.microsoft.com/office/2006/metadata/properties" ma:root="true" ma:fieldsID="329bb96768f20912ec252325e8c8501c" ns2:_="" ns3:_="">
    <xsd:import namespace="6719592d-42f9-4331-a016-1868470944c5"/>
    <xsd:import namespace="df25a99a-1c69-45a9-93ff-ed73211d2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9592d-42f9-4331-a016-186847094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5a99a-1c69-45a9-93ff-ed73211d271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72057-9589-4A4E-964F-706DF87A6E43}"/>
</file>

<file path=customXml/itemProps2.xml><?xml version="1.0" encoding="utf-8"?>
<ds:datastoreItem xmlns:ds="http://schemas.openxmlformats.org/officeDocument/2006/customXml" ds:itemID="{FBF25FD8-315C-4FDD-92A7-BD84B5F2CF39}">
  <ds:schemaRefs>
    <ds:schemaRef ds:uri="http://schemas.microsoft.com/sharepoint/v3/contenttype/forms"/>
  </ds:schemaRefs>
</ds:datastoreItem>
</file>

<file path=customXml/itemProps3.xml><?xml version="1.0" encoding="utf-8"?>
<ds:datastoreItem xmlns:ds="http://schemas.openxmlformats.org/officeDocument/2006/customXml" ds:itemID="{FA0C41F5-C341-465F-9BFE-C20FCE65D3FB}">
  <ds:schemaRefs>
    <ds:schemaRef ds:uri="df25a99a-1c69-45a9-93ff-ed73211d2714"/>
    <ds:schemaRef ds:uri="http://purl.org/dc/terms/"/>
    <ds:schemaRef ds:uri="http://schemas.microsoft.com/office/2006/documentManagement/types"/>
    <ds:schemaRef ds:uri="http://purl.org/dc/dcmitype/"/>
    <ds:schemaRef ds:uri="6719592d-42f9-4331-a016-1868470944c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1418</Words>
  <Characters>7518</Characters>
  <Application>Microsoft Office Word</Application>
  <DocSecurity>0</DocSecurity>
  <Lines>62</Lines>
  <Paragraphs>17</Paragraphs>
  <ScaleCrop>false</ScaleCrop>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Nyfors, Brit</dc:creator>
  <cp:keywords/>
  <dc:description/>
  <cp:lastModifiedBy>Knutsen, Jan Vegar</cp:lastModifiedBy>
  <cp:revision>25</cp:revision>
  <dcterms:created xsi:type="dcterms:W3CDTF">2020-05-12T13:42:00Z</dcterms:created>
  <dcterms:modified xsi:type="dcterms:W3CDTF">2020-05-25T08:13:00Z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0x0101001122364504C0774B91A8C83906C34E2B</vt:lpwstr>
  </property>
</Properties>
</file>